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B425B">
      <w:pPr>
        <w:spacing w:line="248" w:lineRule="auto"/>
        <w:rPr>
          <w:rFonts w:ascii="宋体"/>
        </w:rPr>
      </w:pPr>
    </w:p>
    <w:p w14:paraId="1BDCC26B">
      <w:pPr>
        <w:spacing w:line="248" w:lineRule="auto"/>
        <w:rPr>
          <w:rFonts w:ascii="宋体"/>
        </w:rPr>
      </w:pPr>
      <w:bookmarkStart w:id="0" w:name="_Toc28812"/>
    </w:p>
    <w:p w14:paraId="5E6F8171">
      <w:pPr>
        <w:spacing w:line="248" w:lineRule="auto"/>
        <w:rPr>
          <w:rFonts w:ascii="宋体"/>
        </w:rPr>
      </w:pPr>
    </w:p>
    <w:p w14:paraId="295AAB6A">
      <w:pPr>
        <w:jc w:val="center"/>
        <w:outlineLvl w:val="9"/>
        <w:rPr>
          <w:rFonts w:ascii="楷体" w:hAnsi="楷体" w:eastAsia="楷体" w:cs="楷体"/>
          <w:b/>
          <w:bCs/>
          <w:sz w:val="36"/>
          <w:szCs w:val="36"/>
        </w:rPr>
      </w:pPr>
      <w:bookmarkStart w:id="1" w:name="_Toc16984"/>
      <w:bookmarkStart w:id="2" w:name="_Toc24848"/>
      <w:r>
        <w:rPr>
          <w:rFonts w:ascii="楷体" w:hAnsi="楷体" w:eastAsia="楷体" w:cs="楷体"/>
          <w:b/>
          <w:bCs/>
          <w:sz w:val="36"/>
          <w:szCs w:val="36"/>
        </w:rPr>
        <w:t>教学设施、设备改造提升补助-扶风高中</w:t>
      </w:r>
      <w:bookmarkEnd w:id="1"/>
      <w:bookmarkEnd w:id="2"/>
    </w:p>
    <w:p w14:paraId="7F69CF42">
      <w:pPr>
        <w:spacing w:line="248" w:lineRule="auto"/>
        <w:rPr>
          <w:rFonts w:ascii="宋体"/>
        </w:rPr>
      </w:pPr>
    </w:p>
    <w:p w14:paraId="50E9AFFB">
      <w:pPr>
        <w:spacing w:line="248" w:lineRule="auto"/>
        <w:rPr>
          <w:rFonts w:ascii="宋体"/>
        </w:rPr>
      </w:pPr>
    </w:p>
    <w:p w14:paraId="073DBE7B">
      <w:pPr>
        <w:spacing w:line="248" w:lineRule="auto"/>
        <w:rPr>
          <w:rFonts w:ascii="宋体"/>
        </w:rPr>
      </w:pPr>
    </w:p>
    <w:p w14:paraId="66140979">
      <w:pPr>
        <w:spacing w:line="1200" w:lineRule="exact"/>
        <w:jc w:val="center"/>
        <w:rPr>
          <w:rFonts w:ascii="黑体" w:hAnsi="黑体" w:eastAsia="黑体" w:cs="黑体"/>
          <w:b/>
          <w:bCs/>
          <w:sz w:val="72"/>
          <w:szCs w:val="72"/>
        </w:rPr>
      </w:pPr>
      <w:r>
        <w:rPr>
          <w:rFonts w:ascii="黑体" w:hAnsi="黑体" w:eastAsia="黑体" w:cs="黑体"/>
          <w:b/>
          <w:bCs/>
          <w:sz w:val="72"/>
          <w:szCs w:val="72"/>
        </w:rPr>
        <w:t>绩 效 评 价 报 告</w:t>
      </w:r>
    </w:p>
    <w:p w14:paraId="0171973C">
      <w:pPr>
        <w:spacing w:line="248" w:lineRule="auto"/>
        <w:rPr>
          <w:rFonts w:ascii="宋体"/>
        </w:rPr>
      </w:pPr>
    </w:p>
    <w:p w14:paraId="347E0C39">
      <w:pPr>
        <w:spacing w:line="248" w:lineRule="auto"/>
        <w:rPr>
          <w:rFonts w:ascii="宋体"/>
        </w:rPr>
      </w:pPr>
    </w:p>
    <w:p w14:paraId="4B4D2901">
      <w:pPr>
        <w:spacing w:line="248" w:lineRule="auto"/>
        <w:jc w:val="left"/>
        <w:rPr>
          <w:rFonts w:ascii="宋体"/>
        </w:rPr>
      </w:pPr>
    </w:p>
    <w:p w14:paraId="70E229AD">
      <w:pPr>
        <w:spacing w:line="248" w:lineRule="auto"/>
        <w:jc w:val="left"/>
        <w:rPr>
          <w:rFonts w:ascii="宋体"/>
        </w:rPr>
      </w:pPr>
    </w:p>
    <w:p w14:paraId="1F046B09">
      <w:pPr>
        <w:spacing w:line="248" w:lineRule="auto"/>
        <w:jc w:val="left"/>
        <w:rPr>
          <w:rFonts w:ascii="宋体"/>
        </w:rPr>
      </w:pPr>
    </w:p>
    <w:p w14:paraId="2AEC748F">
      <w:pPr>
        <w:spacing w:line="248" w:lineRule="auto"/>
        <w:jc w:val="left"/>
        <w:rPr>
          <w:rFonts w:ascii="宋体"/>
        </w:rPr>
      </w:pPr>
    </w:p>
    <w:p w14:paraId="2015A032">
      <w:pPr>
        <w:spacing w:line="248" w:lineRule="auto"/>
        <w:jc w:val="left"/>
        <w:rPr>
          <w:rFonts w:ascii="宋体"/>
        </w:rPr>
      </w:pPr>
    </w:p>
    <w:p w14:paraId="0D75D568">
      <w:pPr>
        <w:spacing w:line="248" w:lineRule="auto"/>
        <w:rPr>
          <w:rFonts w:ascii="宋体"/>
        </w:rPr>
      </w:pPr>
    </w:p>
    <w:p w14:paraId="1F71064D">
      <w:pPr>
        <w:spacing w:line="248" w:lineRule="auto"/>
        <w:jc w:val="left"/>
        <w:rPr>
          <w:rFonts w:ascii="宋体"/>
        </w:rPr>
      </w:pPr>
    </w:p>
    <w:p w14:paraId="6EFF43A2">
      <w:pPr>
        <w:spacing w:line="248" w:lineRule="auto"/>
        <w:jc w:val="left"/>
        <w:rPr>
          <w:rFonts w:ascii="宋体"/>
        </w:rPr>
      </w:pPr>
    </w:p>
    <w:p w14:paraId="485CEE9A">
      <w:pPr>
        <w:spacing w:line="248" w:lineRule="auto"/>
        <w:jc w:val="left"/>
        <w:rPr>
          <w:rFonts w:ascii="宋体"/>
        </w:rPr>
      </w:pPr>
    </w:p>
    <w:p w14:paraId="7234A846">
      <w:pPr>
        <w:spacing w:line="248" w:lineRule="auto"/>
        <w:jc w:val="left"/>
        <w:rPr>
          <w:rFonts w:ascii="宋体"/>
        </w:rPr>
      </w:pPr>
    </w:p>
    <w:p w14:paraId="3CB80AF2">
      <w:pPr>
        <w:spacing w:line="248" w:lineRule="auto"/>
        <w:jc w:val="left"/>
        <w:rPr>
          <w:rFonts w:ascii="宋体"/>
        </w:rPr>
      </w:pPr>
    </w:p>
    <w:p w14:paraId="7F1CAFB2">
      <w:pPr>
        <w:spacing w:line="248" w:lineRule="auto"/>
        <w:jc w:val="left"/>
        <w:rPr>
          <w:rFonts w:ascii="宋体"/>
        </w:rPr>
      </w:pPr>
    </w:p>
    <w:p w14:paraId="7FAB16E3">
      <w:pPr>
        <w:spacing w:line="248" w:lineRule="auto"/>
        <w:jc w:val="left"/>
        <w:rPr>
          <w:rFonts w:ascii="宋体"/>
        </w:rPr>
      </w:pPr>
    </w:p>
    <w:p w14:paraId="230ACEE6">
      <w:pPr>
        <w:spacing w:line="248" w:lineRule="auto"/>
        <w:jc w:val="left"/>
        <w:rPr>
          <w:rFonts w:ascii="宋体"/>
        </w:rPr>
      </w:pPr>
    </w:p>
    <w:p w14:paraId="50A2255B">
      <w:pPr>
        <w:spacing w:line="248" w:lineRule="auto"/>
        <w:rPr>
          <w:rFonts w:ascii="宋体"/>
        </w:rPr>
      </w:pPr>
    </w:p>
    <w:p w14:paraId="1C63C7AF">
      <w:pPr>
        <w:widowControl/>
        <w:spacing w:line="600" w:lineRule="exact"/>
        <w:ind w:firstLine="960" w:firstLineChars="300"/>
        <w:jc w:val="left"/>
        <w:rPr>
          <w:rFonts w:ascii="仿宋" w:hAnsi="仿宋" w:eastAsia="仿宋" w:cs="仿宋"/>
          <w:sz w:val="32"/>
          <w:szCs w:val="32"/>
        </w:rPr>
      </w:pPr>
      <w:r>
        <w:rPr>
          <w:rFonts w:ascii="楷体" w:hAnsi="楷体" w:eastAsia="楷体" w:cs="楷体"/>
          <w:color w:val="000000"/>
          <w:kern w:val="0"/>
          <w:sz w:val="32"/>
          <w:szCs w:val="32"/>
        </w:rPr>
        <w:t xml:space="preserve">主管部门：扶风县教育体育局            </w:t>
      </w:r>
    </w:p>
    <w:p w14:paraId="3C515530">
      <w:pPr>
        <w:widowControl/>
        <w:spacing w:line="600" w:lineRule="exact"/>
        <w:ind w:left="2558" w:leftChars="456" w:hanging="1600" w:hangingChars="500"/>
        <w:jc w:val="left"/>
        <w:rPr>
          <w:rFonts w:ascii="仿宋" w:hAnsi="仿宋" w:eastAsia="仿宋" w:cs="仿宋"/>
          <w:sz w:val="32"/>
          <w:szCs w:val="32"/>
        </w:rPr>
      </w:pPr>
      <w:r>
        <w:rPr>
          <w:rFonts w:hint="eastAsia" w:ascii="楷体" w:hAnsi="楷体" w:eastAsia="楷体" w:cs="楷体"/>
          <w:color w:val="000000"/>
          <w:kern w:val="0"/>
          <w:sz w:val="32"/>
          <w:szCs w:val="32"/>
        </w:rPr>
        <w:t xml:space="preserve">项目单位：扶风县扶风高中            </w:t>
      </w:r>
    </w:p>
    <w:p w14:paraId="09FA9931">
      <w:pPr>
        <w:widowControl/>
        <w:spacing w:line="600" w:lineRule="exact"/>
        <w:ind w:firstLine="960" w:firstLineChars="300"/>
        <w:rPr>
          <w:rFonts w:ascii="楷体" w:hAnsi="楷体" w:eastAsia="楷体" w:cs="楷体"/>
          <w:color w:val="000000"/>
          <w:kern w:val="0"/>
          <w:sz w:val="32"/>
          <w:szCs w:val="32"/>
          <w:u w:val="single"/>
        </w:rPr>
      </w:pPr>
      <w:r>
        <w:rPr>
          <w:rFonts w:hint="eastAsia" w:ascii="楷体" w:hAnsi="楷体" w:eastAsia="楷体" w:cs="楷体"/>
          <w:color w:val="000000"/>
          <w:kern w:val="0"/>
          <w:sz w:val="32"/>
          <w:szCs w:val="32"/>
        </w:rPr>
        <w:t xml:space="preserve">评价单位：扶风县财政局                        </w:t>
      </w:r>
    </w:p>
    <w:p w14:paraId="01E50219">
      <w:pPr>
        <w:widowControl/>
        <w:spacing w:line="600" w:lineRule="exact"/>
        <w:ind w:firstLine="960" w:firstLineChars="300"/>
        <w:rPr>
          <w:rFonts w:ascii="宋体" w:hAnsi="宋体" w:cs="宋体"/>
          <w:spacing w:val="-1"/>
          <w:sz w:val="36"/>
          <w:szCs w:val="36"/>
          <w14:textOutline w14:w="6540" w14:cap="sq" w14:cmpd="sng" w14:algn="ctr">
            <w14:solidFill>
              <w14:srgbClr w14:val="000000"/>
            </w14:solidFill>
            <w14:prstDash w14:val="solid"/>
            <w14:bevel/>
          </w14:textOutline>
        </w:rPr>
      </w:pPr>
      <w:r>
        <w:rPr>
          <w:rFonts w:hint="eastAsia" w:ascii="楷体" w:hAnsi="楷体" w:eastAsia="楷体" w:cs="楷体"/>
          <w:color w:val="000000"/>
          <w:kern w:val="0"/>
          <w:sz w:val="32"/>
          <w:szCs w:val="32"/>
        </w:rPr>
        <w:t>评价日期：2024</w:t>
      </w:r>
      <w:r>
        <w:rPr>
          <w:rFonts w:hint="eastAsia" w:ascii="楷体" w:hAnsi="楷体" w:eastAsia="楷体" w:cs="楷体"/>
          <w:color w:val="000000"/>
          <w:kern w:val="0"/>
          <w:sz w:val="32"/>
          <w:szCs w:val="32"/>
          <w:lang w:val="en-US" w:eastAsia="zh-CN"/>
        </w:rPr>
        <w:t>年</w:t>
      </w:r>
      <w:r>
        <w:rPr>
          <w:rFonts w:hint="eastAsia" w:ascii="楷体" w:hAnsi="楷体" w:eastAsia="楷体" w:cs="楷体"/>
          <w:color w:val="000000"/>
          <w:kern w:val="0"/>
          <w:sz w:val="32"/>
          <w:szCs w:val="32"/>
        </w:rPr>
        <w:t>6</w:t>
      </w:r>
      <w:r>
        <w:rPr>
          <w:rFonts w:hint="eastAsia" w:ascii="楷体" w:hAnsi="楷体" w:eastAsia="楷体" w:cs="楷体"/>
          <w:color w:val="000000"/>
          <w:kern w:val="0"/>
          <w:sz w:val="32"/>
          <w:szCs w:val="32"/>
          <w:lang w:val="en-US" w:eastAsia="zh-CN"/>
        </w:rPr>
        <w:t>月</w:t>
      </w:r>
      <w:r>
        <w:rPr>
          <w:rFonts w:hint="eastAsia" w:ascii="楷体" w:hAnsi="楷体" w:eastAsia="楷体" w:cs="楷体"/>
          <w:color w:val="000000"/>
          <w:kern w:val="0"/>
          <w:sz w:val="32"/>
          <w:szCs w:val="32"/>
        </w:rPr>
        <w:t>17</w:t>
      </w:r>
      <w:r>
        <w:rPr>
          <w:rFonts w:hint="eastAsia" w:ascii="楷体" w:hAnsi="楷体" w:eastAsia="楷体" w:cs="楷体"/>
          <w:color w:val="000000"/>
          <w:kern w:val="0"/>
          <w:sz w:val="32"/>
          <w:szCs w:val="32"/>
          <w:lang w:val="en-US" w:eastAsia="zh-CN"/>
        </w:rPr>
        <w:t>日</w:t>
      </w:r>
      <w:r>
        <w:rPr>
          <w:rFonts w:hint="eastAsia" w:ascii="楷体" w:hAnsi="楷体" w:eastAsia="楷体" w:cs="楷体"/>
          <w:color w:val="000000"/>
          <w:kern w:val="0"/>
          <w:sz w:val="32"/>
          <w:szCs w:val="32"/>
        </w:rPr>
        <w:t xml:space="preserve">       </w:t>
      </w:r>
      <w:bookmarkEnd w:id="0"/>
    </w:p>
    <w:p w14:paraId="11565397">
      <w:pPr>
        <w:spacing w:before="480" w:after="360"/>
        <w:jc w:val="center"/>
        <w:rPr>
          <w:rFonts w:ascii="宋体" w:hAnsi="宋体"/>
          <w:b/>
          <w:bCs/>
          <w:sz w:val="36"/>
          <w:szCs w:val="36"/>
        </w:rPr>
        <w:sectPr>
          <w:footerReference r:id="rId3" w:type="default"/>
          <w:pgSz w:w="11850" w:h="16783"/>
          <w:pgMar w:top="1440" w:right="1800" w:bottom="1440" w:left="1800" w:header="567" w:footer="992" w:gutter="0"/>
          <w:pgNumType w:start="1"/>
          <w:cols w:space="720" w:num="1"/>
          <w:docGrid w:type="lines" w:linePitch="312" w:charSpace="0"/>
        </w:sectPr>
      </w:pPr>
    </w:p>
    <w:sdt>
      <w:sdtPr>
        <w:rPr>
          <w:rFonts w:ascii="宋体" w:hAnsi="宋体"/>
          <w:b/>
          <w:bCs/>
          <w:sz w:val="48"/>
          <w:szCs w:val="48"/>
        </w:rPr>
        <w:id w:val="147479055"/>
        <w:docPartObj>
          <w:docPartGallery w:val="Table of Contents"/>
          <w:docPartUnique/>
        </w:docPartObj>
      </w:sdtPr>
      <w:sdtEndPr>
        <w:rPr>
          <w:rFonts w:ascii="宋体" w:hAnsi="宋体"/>
          <w:b/>
          <w:bCs/>
          <w:sz w:val="36"/>
          <w:szCs w:val="36"/>
        </w:rPr>
      </w:sdtEndPr>
      <w:sdtContent>
        <w:p w14:paraId="74FF7BD9">
          <w:pPr>
            <w:jc w:val="center"/>
            <w:rPr>
              <w:rFonts w:ascii="Times New Roman" w:hAnsi="Times New Roman" w:eastAsia="宋体" w:cs="Times New Roman"/>
              <w:b/>
              <w:kern w:val="2"/>
              <w:sz w:val="28"/>
              <w:szCs w:val="24"/>
              <w:lang w:val="en-US" w:eastAsia="zh-CN" w:bidi="ar-SA"/>
            </w:rPr>
          </w:pPr>
          <w:r>
            <w:rPr>
              <w:rFonts w:ascii="宋体" w:hAnsi="宋体"/>
              <w:b/>
              <w:bCs/>
              <w:sz w:val="48"/>
              <w:szCs w:val="48"/>
            </w:rPr>
            <w:t>目</w:t>
          </w:r>
          <w:r>
            <w:rPr>
              <w:rFonts w:hint="eastAsia" w:ascii="宋体" w:hAnsi="宋体"/>
              <w:b/>
              <w:bCs/>
              <w:sz w:val="48"/>
              <w:szCs w:val="48"/>
            </w:rPr>
            <w:t xml:space="preserve"> </w:t>
          </w:r>
          <w:r>
            <w:rPr>
              <w:rFonts w:ascii="宋体" w:hAnsi="宋体"/>
              <w:b/>
              <w:bCs/>
              <w:sz w:val="48"/>
              <w:szCs w:val="48"/>
            </w:rPr>
            <w:t>录</w:t>
          </w:r>
          <w:r>
            <w:rPr>
              <w:sz w:val="28"/>
              <w:szCs w:val="24"/>
            </w:rPr>
            <w:fldChar w:fldCharType="begin"/>
          </w:r>
          <w:r>
            <w:rPr>
              <w:sz w:val="28"/>
              <w:szCs w:val="24"/>
            </w:rPr>
            <w:instrText xml:space="preserve">TOC \o "1-2" \h \u</w:instrText>
          </w:r>
          <w:r>
            <w:rPr>
              <w:sz w:val="28"/>
              <w:szCs w:val="24"/>
            </w:rPr>
            <w:fldChar w:fldCharType="separate"/>
          </w:r>
        </w:p>
        <w:p w14:paraId="28018F80">
          <w:pPr>
            <w:pStyle w:val="10"/>
            <w:tabs>
              <w:tab w:val="right" w:leader="dot" w:pos="8250"/>
            </w:tabs>
            <w:rPr>
              <w:sz w:val="28"/>
              <w:szCs w:val="24"/>
            </w:rPr>
          </w:pPr>
          <w:r>
            <w:rPr>
              <w:sz w:val="28"/>
              <w:szCs w:val="24"/>
            </w:rPr>
            <w:fldChar w:fldCharType="begin"/>
          </w:r>
          <w:r>
            <w:rPr>
              <w:sz w:val="28"/>
              <w:szCs w:val="24"/>
            </w:rPr>
            <w:instrText xml:space="preserve"> HYPERLINK \l _Toc29096 </w:instrText>
          </w:r>
          <w:r>
            <w:rPr>
              <w:sz w:val="28"/>
              <w:szCs w:val="24"/>
            </w:rPr>
            <w:fldChar w:fldCharType="separate"/>
          </w:r>
          <w:r>
            <w:rPr>
              <w:rFonts w:ascii="宋体" w:hAnsi="宋体" w:cs="宋体"/>
              <w:bCs/>
              <w:spacing w:val="-3"/>
              <w:sz w:val="28"/>
              <w:szCs w:val="48"/>
              <w14:textOutline w14:w="6540" w14:cap="sq" w14:cmpd="sng" w14:algn="ctr">
                <w14:solidFill>
                  <w14:srgbClr w14:val="000000"/>
                </w14:solidFill>
                <w14:prstDash w14:val="solid"/>
                <w14:bevel/>
              </w14:textOutline>
            </w:rPr>
            <w:t>摘</w:t>
          </w:r>
          <w:r>
            <w:rPr>
              <w:rFonts w:ascii="宋体" w:hAnsi="宋体" w:cs="宋体"/>
              <w:bCs/>
              <w:spacing w:val="27"/>
              <w:sz w:val="28"/>
              <w:szCs w:val="48"/>
            </w:rPr>
            <w:t xml:space="preserve"> </w:t>
          </w:r>
          <w:r>
            <w:rPr>
              <w:rFonts w:ascii="宋体" w:hAnsi="宋体" w:cs="宋体"/>
              <w:bCs/>
              <w:spacing w:val="-3"/>
              <w:sz w:val="28"/>
              <w:szCs w:val="48"/>
              <w14:textOutline w14:w="6540" w14:cap="sq" w14:cmpd="sng" w14:algn="ctr">
                <w14:solidFill>
                  <w14:srgbClr w14:val="000000"/>
                </w14:solidFill>
                <w14:prstDash w14:val="solid"/>
                <w14:bevel/>
              </w14:textOutline>
            </w:rPr>
            <w:t>要</w:t>
          </w:r>
          <w:r>
            <w:rPr>
              <w:sz w:val="28"/>
              <w:szCs w:val="24"/>
            </w:rPr>
            <w:fldChar w:fldCharType="end"/>
          </w:r>
        </w:p>
        <w:p w14:paraId="4A5B8F75">
          <w:pPr>
            <w:pStyle w:val="10"/>
            <w:tabs>
              <w:tab w:val="right" w:leader="dot" w:pos="8250"/>
            </w:tabs>
            <w:rPr>
              <w:sz w:val="28"/>
              <w:szCs w:val="24"/>
            </w:rPr>
          </w:pPr>
          <w:r>
            <w:rPr>
              <w:sz w:val="28"/>
              <w:szCs w:val="24"/>
            </w:rPr>
            <w:fldChar w:fldCharType="begin"/>
          </w:r>
          <w:r>
            <w:rPr>
              <w:sz w:val="28"/>
              <w:szCs w:val="24"/>
            </w:rPr>
            <w:instrText xml:space="preserve"> HYPERLINK \l _Toc19393 </w:instrText>
          </w:r>
          <w:r>
            <w:rPr>
              <w:sz w:val="28"/>
              <w:szCs w:val="24"/>
            </w:rPr>
            <w:fldChar w:fldCharType="separate"/>
          </w:r>
          <w:r>
            <w:rPr>
              <w:rFonts w:hint="eastAsia" w:ascii="黑体" w:hAnsi="黑体" w:eastAsia="黑体" w:cs="黑体"/>
              <w:spacing w:val="-2"/>
              <w:sz w:val="28"/>
              <w:szCs w:val="44"/>
            </w:rPr>
            <w:t>一、基本情况</w:t>
          </w:r>
          <w:r>
            <w:rPr>
              <w:sz w:val="28"/>
              <w:szCs w:val="24"/>
            </w:rPr>
            <w:tab/>
          </w:r>
          <w:r>
            <w:rPr>
              <w:sz w:val="28"/>
              <w:szCs w:val="24"/>
            </w:rPr>
            <w:fldChar w:fldCharType="begin"/>
          </w:r>
          <w:r>
            <w:rPr>
              <w:sz w:val="28"/>
              <w:szCs w:val="24"/>
            </w:rPr>
            <w:instrText xml:space="preserve"> PAGEREF _Toc19393 \h </w:instrText>
          </w:r>
          <w:r>
            <w:rPr>
              <w:sz w:val="28"/>
              <w:szCs w:val="24"/>
            </w:rPr>
            <w:fldChar w:fldCharType="separate"/>
          </w:r>
          <w:r>
            <w:rPr>
              <w:sz w:val="28"/>
              <w:szCs w:val="24"/>
            </w:rPr>
            <w:t>1</w:t>
          </w:r>
          <w:r>
            <w:rPr>
              <w:sz w:val="28"/>
              <w:szCs w:val="24"/>
            </w:rPr>
            <w:fldChar w:fldCharType="end"/>
          </w:r>
          <w:r>
            <w:rPr>
              <w:sz w:val="28"/>
              <w:szCs w:val="24"/>
            </w:rPr>
            <w:fldChar w:fldCharType="end"/>
          </w:r>
        </w:p>
        <w:p w14:paraId="07DAFCF3">
          <w:pPr>
            <w:pStyle w:val="11"/>
            <w:tabs>
              <w:tab w:val="right" w:leader="dot" w:pos="8250"/>
            </w:tabs>
            <w:rPr>
              <w:sz w:val="28"/>
              <w:szCs w:val="24"/>
            </w:rPr>
          </w:pPr>
          <w:r>
            <w:rPr>
              <w:sz w:val="28"/>
              <w:szCs w:val="24"/>
            </w:rPr>
            <w:fldChar w:fldCharType="begin"/>
          </w:r>
          <w:r>
            <w:rPr>
              <w:sz w:val="28"/>
              <w:szCs w:val="24"/>
            </w:rPr>
            <w:instrText xml:space="preserve"> HYPERLINK \l _Toc24027 </w:instrText>
          </w:r>
          <w:r>
            <w:rPr>
              <w:sz w:val="28"/>
              <w:szCs w:val="24"/>
            </w:rPr>
            <w:fldChar w:fldCharType="separate"/>
          </w:r>
          <w:r>
            <w:rPr>
              <w:rFonts w:hint="eastAsia" w:ascii="楷体" w:hAnsi="楷体" w:eastAsia="楷体" w:cs="楷体"/>
              <w:bCs/>
              <w:kern w:val="0"/>
              <w:sz w:val="28"/>
              <w:szCs w:val="44"/>
            </w:rPr>
            <w:t>（一）项目概况</w:t>
          </w:r>
          <w:r>
            <w:rPr>
              <w:sz w:val="28"/>
              <w:szCs w:val="24"/>
            </w:rPr>
            <w:tab/>
          </w:r>
          <w:r>
            <w:rPr>
              <w:sz w:val="28"/>
              <w:szCs w:val="24"/>
            </w:rPr>
            <w:fldChar w:fldCharType="begin"/>
          </w:r>
          <w:r>
            <w:rPr>
              <w:sz w:val="28"/>
              <w:szCs w:val="24"/>
            </w:rPr>
            <w:instrText xml:space="preserve"> PAGEREF _Toc24027 \h </w:instrText>
          </w:r>
          <w:r>
            <w:rPr>
              <w:sz w:val="28"/>
              <w:szCs w:val="24"/>
            </w:rPr>
            <w:fldChar w:fldCharType="separate"/>
          </w:r>
          <w:r>
            <w:rPr>
              <w:sz w:val="28"/>
              <w:szCs w:val="24"/>
            </w:rPr>
            <w:t>1</w:t>
          </w:r>
          <w:r>
            <w:rPr>
              <w:sz w:val="28"/>
              <w:szCs w:val="24"/>
            </w:rPr>
            <w:fldChar w:fldCharType="end"/>
          </w:r>
          <w:r>
            <w:rPr>
              <w:sz w:val="28"/>
              <w:szCs w:val="24"/>
            </w:rPr>
            <w:fldChar w:fldCharType="end"/>
          </w:r>
        </w:p>
        <w:p w14:paraId="5C863EFA">
          <w:pPr>
            <w:pStyle w:val="11"/>
            <w:tabs>
              <w:tab w:val="right" w:leader="dot" w:pos="8250"/>
            </w:tabs>
            <w:rPr>
              <w:sz w:val="28"/>
              <w:szCs w:val="24"/>
            </w:rPr>
          </w:pPr>
          <w:r>
            <w:rPr>
              <w:sz w:val="28"/>
              <w:szCs w:val="24"/>
            </w:rPr>
            <w:fldChar w:fldCharType="begin"/>
          </w:r>
          <w:r>
            <w:rPr>
              <w:sz w:val="28"/>
              <w:szCs w:val="24"/>
            </w:rPr>
            <w:instrText xml:space="preserve"> HYPERLINK \l _Toc8079 </w:instrText>
          </w:r>
          <w:r>
            <w:rPr>
              <w:sz w:val="28"/>
              <w:szCs w:val="24"/>
            </w:rPr>
            <w:fldChar w:fldCharType="separate"/>
          </w:r>
          <w:r>
            <w:rPr>
              <w:rFonts w:hint="eastAsia" w:ascii="楷体" w:hAnsi="楷体" w:eastAsia="楷体" w:cs="楷体"/>
              <w:bCs/>
              <w:kern w:val="0"/>
              <w:sz w:val="28"/>
              <w:szCs w:val="44"/>
            </w:rPr>
            <w:t>（二）项目绩效目标</w:t>
          </w:r>
          <w:r>
            <w:rPr>
              <w:sz w:val="28"/>
              <w:szCs w:val="24"/>
            </w:rPr>
            <w:tab/>
          </w:r>
          <w:r>
            <w:rPr>
              <w:sz w:val="28"/>
              <w:szCs w:val="24"/>
            </w:rPr>
            <w:fldChar w:fldCharType="begin"/>
          </w:r>
          <w:r>
            <w:rPr>
              <w:sz w:val="28"/>
              <w:szCs w:val="24"/>
            </w:rPr>
            <w:instrText xml:space="preserve"> PAGEREF _Toc8079 \h </w:instrText>
          </w:r>
          <w:r>
            <w:rPr>
              <w:sz w:val="28"/>
              <w:szCs w:val="24"/>
            </w:rPr>
            <w:fldChar w:fldCharType="separate"/>
          </w:r>
          <w:r>
            <w:rPr>
              <w:sz w:val="28"/>
              <w:szCs w:val="24"/>
            </w:rPr>
            <w:t>4</w:t>
          </w:r>
          <w:r>
            <w:rPr>
              <w:sz w:val="28"/>
              <w:szCs w:val="24"/>
            </w:rPr>
            <w:fldChar w:fldCharType="end"/>
          </w:r>
          <w:r>
            <w:rPr>
              <w:sz w:val="28"/>
              <w:szCs w:val="24"/>
            </w:rPr>
            <w:fldChar w:fldCharType="end"/>
          </w:r>
        </w:p>
        <w:p w14:paraId="439F6768">
          <w:pPr>
            <w:pStyle w:val="10"/>
            <w:tabs>
              <w:tab w:val="right" w:leader="dot" w:pos="8250"/>
            </w:tabs>
            <w:rPr>
              <w:sz w:val="28"/>
              <w:szCs w:val="24"/>
            </w:rPr>
          </w:pPr>
          <w:r>
            <w:rPr>
              <w:sz w:val="28"/>
              <w:szCs w:val="24"/>
            </w:rPr>
            <w:fldChar w:fldCharType="begin"/>
          </w:r>
          <w:r>
            <w:rPr>
              <w:sz w:val="28"/>
              <w:szCs w:val="24"/>
            </w:rPr>
            <w:instrText xml:space="preserve"> HYPERLINK \l _Toc9947 </w:instrText>
          </w:r>
          <w:r>
            <w:rPr>
              <w:sz w:val="28"/>
              <w:szCs w:val="24"/>
            </w:rPr>
            <w:fldChar w:fldCharType="separate"/>
          </w:r>
          <w:r>
            <w:rPr>
              <w:rFonts w:hint="eastAsia" w:ascii="黑体" w:hAnsi="黑体" w:eastAsia="黑体" w:cs="黑体"/>
              <w:spacing w:val="-2"/>
              <w:sz w:val="28"/>
              <w:szCs w:val="44"/>
            </w:rPr>
            <w:t>二、绩效评价工作开展情况</w:t>
          </w:r>
          <w:r>
            <w:rPr>
              <w:sz w:val="28"/>
              <w:szCs w:val="24"/>
            </w:rPr>
            <w:tab/>
          </w:r>
          <w:r>
            <w:rPr>
              <w:sz w:val="28"/>
              <w:szCs w:val="24"/>
            </w:rPr>
            <w:fldChar w:fldCharType="begin"/>
          </w:r>
          <w:r>
            <w:rPr>
              <w:sz w:val="28"/>
              <w:szCs w:val="24"/>
            </w:rPr>
            <w:instrText xml:space="preserve"> PAGEREF _Toc9947 \h </w:instrText>
          </w:r>
          <w:r>
            <w:rPr>
              <w:sz w:val="28"/>
              <w:szCs w:val="24"/>
            </w:rPr>
            <w:fldChar w:fldCharType="separate"/>
          </w:r>
          <w:r>
            <w:rPr>
              <w:sz w:val="28"/>
              <w:szCs w:val="24"/>
            </w:rPr>
            <w:t>5</w:t>
          </w:r>
          <w:r>
            <w:rPr>
              <w:sz w:val="28"/>
              <w:szCs w:val="24"/>
            </w:rPr>
            <w:fldChar w:fldCharType="end"/>
          </w:r>
          <w:r>
            <w:rPr>
              <w:sz w:val="28"/>
              <w:szCs w:val="24"/>
            </w:rPr>
            <w:fldChar w:fldCharType="end"/>
          </w:r>
        </w:p>
        <w:p w14:paraId="0200B55C">
          <w:pPr>
            <w:pStyle w:val="11"/>
            <w:tabs>
              <w:tab w:val="right" w:leader="dot" w:pos="8250"/>
            </w:tabs>
            <w:rPr>
              <w:sz w:val="28"/>
              <w:szCs w:val="24"/>
            </w:rPr>
          </w:pPr>
          <w:r>
            <w:rPr>
              <w:sz w:val="28"/>
              <w:szCs w:val="24"/>
            </w:rPr>
            <w:fldChar w:fldCharType="begin"/>
          </w:r>
          <w:r>
            <w:rPr>
              <w:sz w:val="28"/>
              <w:szCs w:val="24"/>
            </w:rPr>
            <w:instrText xml:space="preserve"> HYPERLINK \l _Toc20076 </w:instrText>
          </w:r>
          <w:r>
            <w:rPr>
              <w:sz w:val="28"/>
              <w:szCs w:val="24"/>
            </w:rPr>
            <w:fldChar w:fldCharType="separate"/>
          </w:r>
          <w:r>
            <w:rPr>
              <w:rFonts w:hint="eastAsia" w:ascii="楷体" w:hAnsi="楷体" w:eastAsia="楷体" w:cs="楷体"/>
              <w:bCs/>
              <w:kern w:val="0"/>
              <w:sz w:val="28"/>
              <w:szCs w:val="44"/>
            </w:rPr>
            <w:t>（一）绩效评价目的与重点</w:t>
          </w:r>
          <w:r>
            <w:rPr>
              <w:sz w:val="28"/>
              <w:szCs w:val="24"/>
            </w:rPr>
            <w:tab/>
          </w:r>
          <w:r>
            <w:rPr>
              <w:sz w:val="28"/>
              <w:szCs w:val="24"/>
            </w:rPr>
            <w:fldChar w:fldCharType="begin"/>
          </w:r>
          <w:r>
            <w:rPr>
              <w:sz w:val="28"/>
              <w:szCs w:val="24"/>
            </w:rPr>
            <w:instrText xml:space="preserve"> PAGEREF _Toc20076 \h </w:instrText>
          </w:r>
          <w:r>
            <w:rPr>
              <w:sz w:val="28"/>
              <w:szCs w:val="24"/>
            </w:rPr>
            <w:fldChar w:fldCharType="separate"/>
          </w:r>
          <w:r>
            <w:rPr>
              <w:sz w:val="28"/>
              <w:szCs w:val="24"/>
            </w:rPr>
            <w:t>5</w:t>
          </w:r>
          <w:r>
            <w:rPr>
              <w:sz w:val="28"/>
              <w:szCs w:val="24"/>
            </w:rPr>
            <w:fldChar w:fldCharType="end"/>
          </w:r>
          <w:r>
            <w:rPr>
              <w:sz w:val="28"/>
              <w:szCs w:val="24"/>
            </w:rPr>
            <w:fldChar w:fldCharType="end"/>
          </w:r>
        </w:p>
        <w:p w14:paraId="47B22A1A">
          <w:pPr>
            <w:pStyle w:val="11"/>
            <w:tabs>
              <w:tab w:val="right" w:leader="dot" w:pos="8250"/>
            </w:tabs>
            <w:rPr>
              <w:sz w:val="28"/>
              <w:szCs w:val="24"/>
            </w:rPr>
          </w:pPr>
          <w:r>
            <w:rPr>
              <w:sz w:val="28"/>
              <w:szCs w:val="24"/>
            </w:rPr>
            <w:fldChar w:fldCharType="begin"/>
          </w:r>
          <w:r>
            <w:rPr>
              <w:sz w:val="28"/>
              <w:szCs w:val="24"/>
            </w:rPr>
            <w:instrText xml:space="preserve"> HYPERLINK \l _Toc30537 </w:instrText>
          </w:r>
          <w:r>
            <w:rPr>
              <w:sz w:val="28"/>
              <w:szCs w:val="24"/>
            </w:rPr>
            <w:fldChar w:fldCharType="separate"/>
          </w:r>
          <w:r>
            <w:rPr>
              <w:rFonts w:hint="eastAsia" w:ascii="楷体" w:hAnsi="楷体" w:eastAsia="楷体" w:cs="楷体"/>
              <w:bCs/>
              <w:kern w:val="0"/>
              <w:sz w:val="28"/>
              <w:szCs w:val="44"/>
            </w:rPr>
            <w:t>（二）绩效评价指标与方法</w:t>
          </w:r>
          <w:r>
            <w:rPr>
              <w:sz w:val="28"/>
              <w:szCs w:val="24"/>
            </w:rPr>
            <w:tab/>
          </w:r>
          <w:r>
            <w:rPr>
              <w:sz w:val="28"/>
              <w:szCs w:val="24"/>
            </w:rPr>
            <w:fldChar w:fldCharType="begin"/>
          </w:r>
          <w:r>
            <w:rPr>
              <w:sz w:val="28"/>
              <w:szCs w:val="24"/>
            </w:rPr>
            <w:instrText xml:space="preserve"> PAGEREF _Toc30537 \h </w:instrText>
          </w:r>
          <w:r>
            <w:rPr>
              <w:sz w:val="28"/>
              <w:szCs w:val="24"/>
            </w:rPr>
            <w:fldChar w:fldCharType="separate"/>
          </w:r>
          <w:r>
            <w:rPr>
              <w:sz w:val="28"/>
              <w:szCs w:val="24"/>
            </w:rPr>
            <w:t>5</w:t>
          </w:r>
          <w:r>
            <w:rPr>
              <w:sz w:val="28"/>
              <w:szCs w:val="24"/>
            </w:rPr>
            <w:fldChar w:fldCharType="end"/>
          </w:r>
          <w:r>
            <w:rPr>
              <w:sz w:val="28"/>
              <w:szCs w:val="24"/>
            </w:rPr>
            <w:fldChar w:fldCharType="end"/>
          </w:r>
        </w:p>
        <w:p w14:paraId="6AB2000E">
          <w:pPr>
            <w:pStyle w:val="11"/>
            <w:tabs>
              <w:tab w:val="right" w:leader="dot" w:pos="8250"/>
            </w:tabs>
            <w:rPr>
              <w:sz w:val="28"/>
              <w:szCs w:val="24"/>
            </w:rPr>
          </w:pPr>
          <w:r>
            <w:rPr>
              <w:sz w:val="28"/>
              <w:szCs w:val="24"/>
            </w:rPr>
            <w:fldChar w:fldCharType="begin"/>
          </w:r>
          <w:r>
            <w:rPr>
              <w:sz w:val="28"/>
              <w:szCs w:val="24"/>
            </w:rPr>
            <w:instrText xml:space="preserve"> HYPERLINK \l _Toc22066 </w:instrText>
          </w:r>
          <w:r>
            <w:rPr>
              <w:sz w:val="28"/>
              <w:szCs w:val="24"/>
            </w:rPr>
            <w:fldChar w:fldCharType="separate"/>
          </w:r>
          <w:r>
            <w:rPr>
              <w:rFonts w:hint="eastAsia" w:ascii="楷体" w:hAnsi="楷体" w:eastAsia="楷体" w:cs="楷体"/>
              <w:bCs/>
              <w:kern w:val="0"/>
              <w:sz w:val="28"/>
              <w:szCs w:val="44"/>
            </w:rPr>
            <w:t>（三）绩效评价工作过程</w:t>
          </w:r>
          <w:r>
            <w:rPr>
              <w:sz w:val="28"/>
              <w:szCs w:val="24"/>
            </w:rPr>
            <w:tab/>
          </w:r>
          <w:r>
            <w:rPr>
              <w:sz w:val="28"/>
              <w:szCs w:val="24"/>
            </w:rPr>
            <w:fldChar w:fldCharType="begin"/>
          </w:r>
          <w:r>
            <w:rPr>
              <w:sz w:val="28"/>
              <w:szCs w:val="24"/>
            </w:rPr>
            <w:instrText xml:space="preserve"> PAGEREF _Toc22066 \h </w:instrText>
          </w:r>
          <w:r>
            <w:rPr>
              <w:sz w:val="28"/>
              <w:szCs w:val="24"/>
            </w:rPr>
            <w:fldChar w:fldCharType="separate"/>
          </w:r>
          <w:r>
            <w:rPr>
              <w:sz w:val="28"/>
              <w:szCs w:val="24"/>
            </w:rPr>
            <w:t>8</w:t>
          </w:r>
          <w:r>
            <w:rPr>
              <w:sz w:val="28"/>
              <w:szCs w:val="24"/>
            </w:rPr>
            <w:fldChar w:fldCharType="end"/>
          </w:r>
          <w:r>
            <w:rPr>
              <w:sz w:val="28"/>
              <w:szCs w:val="24"/>
            </w:rPr>
            <w:fldChar w:fldCharType="end"/>
          </w:r>
        </w:p>
        <w:p w14:paraId="11795EB9">
          <w:pPr>
            <w:pStyle w:val="10"/>
            <w:tabs>
              <w:tab w:val="right" w:leader="dot" w:pos="8250"/>
            </w:tabs>
            <w:rPr>
              <w:sz w:val="28"/>
              <w:szCs w:val="24"/>
            </w:rPr>
          </w:pPr>
          <w:r>
            <w:rPr>
              <w:sz w:val="28"/>
              <w:szCs w:val="24"/>
            </w:rPr>
            <w:fldChar w:fldCharType="begin"/>
          </w:r>
          <w:r>
            <w:rPr>
              <w:sz w:val="28"/>
              <w:szCs w:val="24"/>
            </w:rPr>
            <w:instrText xml:space="preserve"> HYPERLINK \l _Toc17514 </w:instrText>
          </w:r>
          <w:r>
            <w:rPr>
              <w:sz w:val="28"/>
              <w:szCs w:val="24"/>
            </w:rPr>
            <w:fldChar w:fldCharType="separate"/>
          </w:r>
          <w:r>
            <w:rPr>
              <w:rFonts w:hint="eastAsia" w:ascii="黑体" w:hAnsi="黑体" w:eastAsia="黑体" w:cs="黑体"/>
              <w:spacing w:val="-2"/>
              <w:sz w:val="28"/>
              <w:szCs w:val="44"/>
            </w:rPr>
            <w:t>三、综合评价情况及评价结论</w:t>
          </w:r>
          <w:r>
            <w:rPr>
              <w:sz w:val="28"/>
              <w:szCs w:val="24"/>
            </w:rPr>
            <w:tab/>
          </w:r>
          <w:r>
            <w:rPr>
              <w:sz w:val="28"/>
              <w:szCs w:val="24"/>
            </w:rPr>
            <w:fldChar w:fldCharType="begin"/>
          </w:r>
          <w:r>
            <w:rPr>
              <w:sz w:val="28"/>
              <w:szCs w:val="24"/>
            </w:rPr>
            <w:instrText xml:space="preserve"> PAGEREF _Toc17514 \h </w:instrText>
          </w:r>
          <w:r>
            <w:rPr>
              <w:sz w:val="28"/>
              <w:szCs w:val="24"/>
            </w:rPr>
            <w:fldChar w:fldCharType="separate"/>
          </w:r>
          <w:r>
            <w:rPr>
              <w:sz w:val="28"/>
              <w:szCs w:val="24"/>
            </w:rPr>
            <w:t>11</w:t>
          </w:r>
          <w:r>
            <w:rPr>
              <w:sz w:val="28"/>
              <w:szCs w:val="24"/>
            </w:rPr>
            <w:fldChar w:fldCharType="end"/>
          </w:r>
          <w:r>
            <w:rPr>
              <w:sz w:val="28"/>
              <w:szCs w:val="24"/>
            </w:rPr>
            <w:fldChar w:fldCharType="end"/>
          </w:r>
        </w:p>
        <w:p w14:paraId="366C6A4E">
          <w:pPr>
            <w:pStyle w:val="10"/>
            <w:tabs>
              <w:tab w:val="right" w:leader="dot" w:pos="8250"/>
            </w:tabs>
            <w:rPr>
              <w:sz w:val="28"/>
              <w:szCs w:val="24"/>
            </w:rPr>
          </w:pPr>
          <w:r>
            <w:rPr>
              <w:sz w:val="28"/>
              <w:szCs w:val="24"/>
            </w:rPr>
            <w:fldChar w:fldCharType="begin"/>
          </w:r>
          <w:r>
            <w:rPr>
              <w:sz w:val="28"/>
              <w:szCs w:val="24"/>
            </w:rPr>
            <w:instrText xml:space="preserve"> HYPERLINK \l _Toc21146 </w:instrText>
          </w:r>
          <w:r>
            <w:rPr>
              <w:sz w:val="28"/>
              <w:szCs w:val="24"/>
            </w:rPr>
            <w:fldChar w:fldCharType="separate"/>
          </w:r>
          <w:r>
            <w:rPr>
              <w:rFonts w:hint="eastAsia" w:ascii="黑体" w:hAnsi="黑体" w:eastAsia="黑体" w:cs="黑体"/>
              <w:spacing w:val="-2"/>
              <w:sz w:val="28"/>
              <w:szCs w:val="44"/>
            </w:rPr>
            <w:t>四、绩效评价指标分析</w:t>
          </w:r>
          <w:r>
            <w:rPr>
              <w:sz w:val="28"/>
              <w:szCs w:val="24"/>
            </w:rPr>
            <w:tab/>
          </w:r>
          <w:r>
            <w:rPr>
              <w:sz w:val="28"/>
              <w:szCs w:val="24"/>
            </w:rPr>
            <w:fldChar w:fldCharType="begin"/>
          </w:r>
          <w:r>
            <w:rPr>
              <w:sz w:val="28"/>
              <w:szCs w:val="24"/>
            </w:rPr>
            <w:instrText xml:space="preserve"> PAGEREF _Toc21146 \h </w:instrText>
          </w:r>
          <w:r>
            <w:rPr>
              <w:sz w:val="28"/>
              <w:szCs w:val="24"/>
            </w:rPr>
            <w:fldChar w:fldCharType="separate"/>
          </w:r>
          <w:r>
            <w:rPr>
              <w:sz w:val="28"/>
              <w:szCs w:val="24"/>
            </w:rPr>
            <w:t>11</w:t>
          </w:r>
          <w:r>
            <w:rPr>
              <w:sz w:val="28"/>
              <w:szCs w:val="24"/>
            </w:rPr>
            <w:fldChar w:fldCharType="end"/>
          </w:r>
          <w:r>
            <w:rPr>
              <w:sz w:val="28"/>
              <w:szCs w:val="24"/>
            </w:rPr>
            <w:fldChar w:fldCharType="end"/>
          </w:r>
        </w:p>
        <w:p w14:paraId="497F9965">
          <w:pPr>
            <w:pStyle w:val="11"/>
            <w:tabs>
              <w:tab w:val="right" w:leader="dot" w:pos="8250"/>
            </w:tabs>
            <w:rPr>
              <w:sz w:val="28"/>
              <w:szCs w:val="24"/>
            </w:rPr>
          </w:pPr>
          <w:r>
            <w:rPr>
              <w:sz w:val="28"/>
              <w:szCs w:val="24"/>
            </w:rPr>
            <w:fldChar w:fldCharType="begin"/>
          </w:r>
          <w:r>
            <w:rPr>
              <w:sz w:val="28"/>
              <w:szCs w:val="24"/>
            </w:rPr>
            <w:instrText xml:space="preserve"> HYPERLINK \l _Toc28786 </w:instrText>
          </w:r>
          <w:r>
            <w:rPr>
              <w:sz w:val="28"/>
              <w:szCs w:val="24"/>
            </w:rPr>
            <w:fldChar w:fldCharType="separate"/>
          </w:r>
          <w:r>
            <w:rPr>
              <w:rFonts w:hint="eastAsia" w:ascii="楷体_GB2312" w:hAnsi="楷体_GB2312" w:eastAsia="楷体_GB2312" w:cs="楷体_GB2312"/>
              <w:b w:val="0"/>
              <w:bCs w:val="0"/>
              <w:kern w:val="0"/>
              <w:sz w:val="28"/>
              <w:szCs w:val="44"/>
            </w:rPr>
            <w:t>（一）决策指标</w:t>
          </w:r>
          <w:r>
            <w:rPr>
              <w:sz w:val="28"/>
              <w:szCs w:val="24"/>
            </w:rPr>
            <w:tab/>
          </w:r>
          <w:r>
            <w:rPr>
              <w:sz w:val="28"/>
              <w:szCs w:val="24"/>
            </w:rPr>
            <w:fldChar w:fldCharType="begin"/>
          </w:r>
          <w:r>
            <w:rPr>
              <w:sz w:val="28"/>
              <w:szCs w:val="24"/>
            </w:rPr>
            <w:instrText xml:space="preserve"> PAGEREF _Toc28786 \h </w:instrText>
          </w:r>
          <w:r>
            <w:rPr>
              <w:sz w:val="28"/>
              <w:szCs w:val="24"/>
            </w:rPr>
            <w:fldChar w:fldCharType="separate"/>
          </w:r>
          <w:r>
            <w:rPr>
              <w:sz w:val="28"/>
              <w:szCs w:val="24"/>
            </w:rPr>
            <w:t>11</w:t>
          </w:r>
          <w:r>
            <w:rPr>
              <w:sz w:val="28"/>
              <w:szCs w:val="24"/>
            </w:rPr>
            <w:fldChar w:fldCharType="end"/>
          </w:r>
          <w:r>
            <w:rPr>
              <w:sz w:val="28"/>
              <w:szCs w:val="24"/>
            </w:rPr>
            <w:fldChar w:fldCharType="end"/>
          </w:r>
        </w:p>
        <w:p w14:paraId="3C8BBF79">
          <w:pPr>
            <w:pStyle w:val="11"/>
            <w:tabs>
              <w:tab w:val="right" w:leader="dot" w:pos="8250"/>
            </w:tabs>
            <w:rPr>
              <w:sz w:val="28"/>
              <w:szCs w:val="24"/>
            </w:rPr>
          </w:pPr>
          <w:r>
            <w:rPr>
              <w:sz w:val="28"/>
              <w:szCs w:val="24"/>
            </w:rPr>
            <w:fldChar w:fldCharType="begin"/>
          </w:r>
          <w:r>
            <w:rPr>
              <w:sz w:val="28"/>
              <w:szCs w:val="24"/>
            </w:rPr>
            <w:instrText xml:space="preserve"> HYPERLINK \l _Toc1250 </w:instrText>
          </w:r>
          <w:r>
            <w:rPr>
              <w:sz w:val="28"/>
              <w:szCs w:val="24"/>
            </w:rPr>
            <w:fldChar w:fldCharType="separate"/>
          </w:r>
          <w:r>
            <w:rPr>
              <w:rFonts w:hint="eastAsia" w:ascii="楷体_GB2312" w:hAnsi="楷体_GB2312" w:eastAsia="楷体_GB2312" w:cs="楷体_GB2312"/>
              <w:b w:val="0"/>
              <w:bCs w:val="0"/>
              <w:kern w:val="0"/>
              <w:sz w:val="28"/>
              <w:szCs w:val="44"/>
            </w:rPr>
            <w:t>（二）过程指标</w:t>
          </w:r>
          <w:r>
            <w:rPr>
              <w:sz w:val="28"/>
              <w:szCs w:val="24"/>
            </w:rPr>
            <w:tab/>
          </w:r>
          <w:r>
            <w:rPr>
              <w:sz w:val="28"/>
              <w:szCs w:val="24"/>
            </w:rPr>
            <w:fldChar w:fldCharType="begin"/>
          </w:r>
          <w:r>
            <w:rPr>
              <w:sz w:val="28"/>
              <w:szCs w:val="24"/>
            </w:rPr>
            <w:instrText xml:space="preserve"> PAGEREF _Toc1250 \h </w:instrText>
          </w:r>
          <w:r>
            <w:rPr>
              <w:sz w:val="28"/>
              <w:szCs w:val="24"/>
            </w:rPr>
            <w:fldChar w:fldCharType="separate"/>
          </w:r>
          <w:r>
            <w:rPr>
              <w:sz w:val="28"/>
              <w:szCs w:val="24"/>
            </w:rPr>
            <w:t>13</w:t>
          </w:r>
          <w:r>
            <w:rPr>
              <w:sz w:val="28"/>
              <w:szCs w:val="24"/>
            </w:rPr>
            <w:fldChar w:fldCharType="end"/>
          </w:r>
          <w:r>
            <w:rPr>
              <w:sz w:val="28"/>
              <w:szCs w:val="24"/>
            </w:rPr>
            <w:fldChar w:fldCharType="end"/>
          </w:r>
        </w:p>
        <w:p w14:paraId="7E6E3D2D">
          <w:pPr>
            <w:pStyle w:val="11"/>
            <w:tabs>
              <w:tab w:val="right" w:leader="dot" w:pos="8250"/>
            </w:tabs>
            <w:rPr>
              <w:sz w:val="28"/>
              <w:szCs w:val="24"/>
            </w:rPr>
          </w:pPr>
          <w:r>
            <w:rPr>
              <w:sz w:val="28"/>
              <w:szCs w:val="24"/>
            </w:rPr>
            <w:fldChar w:fldCharType="begin"/>
          </w:r>
          <w:r>
            <w:rPr>
              <w:sz w:val="28"/>
              <w:szCs w:val="24"/>
            </w:rPr>
            <w:instrText xml:space="preserve"> HYPERLINK \l _Toc26651 </w:instrText>
          </w:r>
          <w:r>
            <w:rPr>
              <w:sz w:val="28"/>
              <w:szCs w:val="24"/>
            </w:rPr>
            <w:fldChar w:fldCharType="separate"/>
          </w:r>
          <w:r>
            <w:rPr>
              <w:rFonts w:hint="eastAsia" w:ascii="楷体_GB2312" w:hAnsi="楷体_GB2312" w:eastAsia="楷体_GB2312" w:cs="楷体_GB2312"/>
              <w:b w:val="0"/>
              <w:bCs w:val="0"/>
              <w:kern w:val="0"/>
              <w:sz w:val="28"/>
              <w:szCs w:val="44"/>
            </w:rPr>
            <w:t>（三）产出指标</w:t>
          </w:r>
          <w:r>
            <w:rPr>
              <w:sz w:val="28"/>
              <w:szCs w:val="24"/>
            </w:rPr>
            <w:tab/>
          </w:r>
          <w:r>
            <w:rPr>
              <w:sz w:val="28"/>
              <w:szCs w:val="24"/>
            </w:rPr>
            <w:fldChar w:fldCharType="begin"/>
          </w:r>
          <w:r>
            <w:rPr>
              <w:sz w:val="28"/>
              <w:szCs w:val="24"/>
            </w:rPr>
            <w:instrText xml:space="preserve"> PAGEREF _Toc26651 \h </w:instrText>
          </w:r>
          <w:r>
            <w:rPr>
              <w:sz w:val="28"/>
              <w:szCs w:val="24"/>
            </w:rPr>
            <w:fldChar w:fldCharType="separate"/>
          </w:r>
          <w:r>
            <w:rPr>
              <w:sz w:val="28"/>
              <w:szCs w:val="24"/>
            </w:rPr>
            <w:t>15</w:t>
          </w:r>
          <w:r>
            <w:rPr>
              <w:sz w:val="28"/>
              <w:szCs w:val="24"/>
            </w:rPr>
            <w:fldChar w:fldCharType="end"/>
          </w:r>
          <w:r>
            <w:rPr>
              <w:sz w:val="28"/>
              <w:szCs w:val="24"/>
            </w:rPr>
            <w:fldChar w:fldCharType="end"/>
          </w:r>
        </w:p>
        <w:p w14:paraId="760D76A0">
          <w:pPr>
            <w:pStyle w:val="11"/>
            <w:tabs>
              <w:tab w:val="right" w:leader="dot" w:pos="8250"/>
            </w:tabs>
            <w:rPr>
              <w:sz w:val="28"/>
              <w:szCs w:val="24"/>
            </w:rPr>
          </w:pPr>
          <w:r>
            <w:rPr>
              <w:sz w:val="28"/>
              <w:szCs w:val="24"/>
            </w:rPr>
            <w:fldChar w:fldCharType="begin"/>
          </w:r>
          <w:r>
            <w:rPr>
              <w:sz w:val="28"/>
              <w:szCs w:val="24"/>
            </w:rPr>
            <w:instrText xml:space="preserve"> HYPERLINK \l _Toc23943 </w:instrText>
          </w:r>
          <w:r>
            <w:rPr>
              <w:sz w:val="28"/>
              <w:szCs w:val="24"/>
            </w:rPr>
            <w:fldChar w:fldCharType="separate"/>
          </w:r>
          <w:r>
            <w:rPr>
              <w:rFonts w:hint="eastAsia" w:ascii="楷体_GB2312" w:hAnsi="楷体_GB2312" w:eastAsia="楷体_GB2312" w:cs="楷体_GB2312"/>
              <w:b w:val="0"/>
              <w:bCs w:val="0"/>
              <w:kern w:val="0"/>
              <w:sz w:val="28"/>
              <w:szCs w:val="44"/>
            </w:rPr>
            <w:t>（四）效益指标</w:t>
          </w:r>
          <w:r>
            <w:rPr>
              <w:sz w:val="28"/>
              <w:szCs w:val="24"/>
            </w:rPr>
            <w:tab/>
          </w:r>
          <w:r>
            <w:rPr>
              <w:sz w:val="28"/>
              <w:szCs w:val="24"/>
            </w:rPr>
            <w:fldChar w:fldCharType="begin"/>
          </w:r>
          <w:r>
            <w:rPr>
              <w:sz w:val="28"/>
              <w:szCs w:val="24"/>
            </w:rPr>
            <w:instrText xml:space="preserve"> PAGEREF _Toc23943 \h </w:instrText>
          </w:r>
          <w:r>
            <w:rPr>
              <w:sz w:val="28"/>
              <w:szCs w:val="24"/>
            </w:rPr>
            <w:fldChar w:fldCharType="separate"/>
          </w:r>
          <w:r>
            <w:rPr>
              <w:sz w:val="28"/>
              <w:szCs w:val="24"/>
            </w:rPr>
            <w:t>16</w:t>
          </w:r>
          <w:r>
            <w:rPr>
              <w:sz w:val="28"/>
              <w:szCs w:val="24"/>
            </w:rPr>
            <w:fldChar w:fldCharType="end"/>
          </w:r>
          <w:r>
            <w:rPr>
              <w:sz w:val="28"/>
              <w:szCs w:val="24"/>
            </w:rPr>
            <w:fldChar w:fldCharType="end"/>
          </w:r>
        </w:p>
        <w:p w14:paraId="6323C0E2">
          <w:pPr>
            <w:pStyle w:val="10"/>
            <w:tabs>
              <w:tab w:val="right" w:leader="dot" w:pos="8250"/>
            </w:tabs>
            <w:rPr>
              <w:sz w:val="28"/>
              <w:szCs w:val="24"/>
            </w:rPr>
          </w:pPr>
          <w:r>
            <w:rPr>
              <w:sz w:val="28"/>
              <w:szCs w:val="24"/>
            </w:rPr>
            <w:fldChar w:fldCharType="begin"/>
          </w:r>
          <w:r>
            <w:rPr>
              <w:sz w:val="28"/>
              <w:szCs w:val="24"/>
            </w:rPr>
            <w:instrText xml:space="preserve"> HYPERLINK \l _Toc24047 </w:instrText>
          </w:r>
          <w:r>
            <w:rPr>
              <w:sz w:val="28"/>
              <w:szCs w:val="24"/>
            </w:rPr>
            <w:fldChar w:fldCharType="separate"/>
          </w:r>
          <w:r>
            <w:rPr>
              <w:rFonts w:hint="eastAsia" w:ascii="黑体" w:hAnsi="黑体" w:eastAsia="黑体" w:cs="黑体"/>
              <w:spacing w:val="-2"/>
              <w:sz w:val="28"/>
              <w:szCs w:val="44"/>
              <w:lang w:val="en-US" w:eastAsia="zh-CN"/>
            </w:rPr>
            <w:t>五</w:t>
          </w:r>
          <w:r>
            <w:rPr>
              <w:rFonts w:hint="eastAsia" w:ascii="黑体" w:hAnsi="黑体" w:eastAsia="黑体" w:cs="黑体"/>
              <w:spacing w:val="-2"/>
              <w:sz w:val="28"/>
              <w:szCs w:val="44"/>
            </w:rPr>
            <w:t>、存在的问题</w:t>
          </w:r>
          <w:r>
            <w:rPr>
              <w:sz w:val="28"/>
              <w:szCs w:val="24"/>
            </w:rPr>
            <w:tab/>
          </w:r>
          <w:r>
            <w:rPr>
              <w:sz w:val="28"/>
              <w:szCs w:val="24"/>
            </w:rPr>
            <w:fldChar w:fldCharType="begin"/>
          </w:r>
          <w:r>
            <w:rPr>
              <w:sz w:val="28"/>
              <w:szCs w:val="24"/>
            </w:rPr>
            <w:instrText xml:space="preserve"> PAGEREF _Toc24047 \h </w:instrText>
          </w:r>
          <w:r>
            <w:rPr>
              <w:sz w:val="28"/>
              <w:szCs w:val="24"/>
            </w:rPr>
            <w:fldChar w:fldCharType="separate"/>
          </w:r>
          <w:r>
            <w:rPr>
              <w:sz w:val="28"/>
              <w:szCs w:val="24"/>
            </w:rPr>
            <w:t>17</w:t>
          </w:r>
          <w:r>
            <w:rPr>
              <w:sz w:val="28"/>
              <w:szCs w:val="24"/>
            </w:rPr>
            <w:fldChar w:fldCharType="end"/>
          </w:r>
          <w:r>
            <w:rPr>
              <w:sz w:val="28"/>
              <w:szCs w:val="24"/>
            </w:rPr>
            <w:fldChar w:fldCharType="end"/>
          </w:r>
        </w:p>
        <w:p w14:paraId="3038E59C">
          <w:pPr>
            <w:pStyle w:val="11"/>
            <w:tabs>
              <w:tab w:val="right" w:leader="dot" w:pos="8250"/>
            </w:tabs>
            <w:rPr>
              <w:sz w:val="28"/>
              <w:szCs w:val="24"/>
            </w:rPr>
          </w:pPr>
          <w:r>
            <w:rPr>
              <w:sz w:val="28"/>
              <w:szCs w:val="24"/>
            </w:rPr>
            <w:fldChar w:fldCharType="begin"/>
          </w:r>
          <w:r>
            <w:rPr>
              <w:sz w:val="28"/>
              <w:szCs w:val="24"/>
            </w:rPr>
            <w:instrText xml:space="preserve"> HYPERLINK \l _Toc16610 </w:instrText>
          </w:r>
          <w:r>
            <w:rPr>
              <w:sz w:val="28"/>
              <w:szCs w:val="24"/>
            </w:rPr>
            <w:fldChar w:fldCharType="separate"/>
          </w:r>
          <w:r>
            <w:rPr>
              <w:rFonts w:hint="eastAsia" w:ascii="楷体_GB2312" w:hAnsi="楷体_GB2312" w:eastAsia="楷体_GB2312" w:cs="楷体_GB2312"/>
              <w:b w:val="0"/>
              <w:bCs w:val="0"/>
              <w:kern w:val="0"/>
              <w:sz w:val="28"/>
              <w:szCs w:val="44"/>
            </w:rPr>
            <w:t>（一）项目</w:t>
          </w:r>
          <w:r>
            <w:rPr>
              <w:rFonts w:hint="eastAsia" w:ascii="楷体_GB2312" w:hAnsi="楷体_GB2312" w:eastAsia="楷体_GB2312" w:cs="楷体_GB2312"/>
              <w:b w:val="0"/>
              <w:bCs w:val="0"/>
              <w:kern w:val="0"/>
              <w:sz w:val="28"/>
              <w:szCs w:val="44"/>
              <w:lang w:val="en-US" w:eastAsia="zh-CN"/>
            </w:rPr>
            <w:t>单位未提供</w:t>
          </w:r>
          <w:r>
            <w:rPr>
              <w:rFonts w:hint="eastAsia" w:ascii="楷体_GB2312" w:hAnsi="楷体_GB2312" w:eastAsia="楷体_GB2312" w:cs="楷体_GB2312"/>
              <w:b w:val="0"/>
              <w:bCs w:val="0"/>
              <w:kern w:val="0"/>
              <w:sz w:val="28"/>
              <w:szCs w:val="44"/>
            </w:rPr>
            <w:t>绩效目标申报</w:t>
          </w:r>
          <w:r>
            <w:rPr>
              <w:rFonts w:hint="eastAsia" w:ascii="楷体_GB2312" w:hAnsi="楷体_GB2312" w:eastAsia="楷体_GB2312" w:cs="楷体_GB2312"/>
              <w:b w:val="0"/>
              <w:bCs w:val="0"/>
              <w:kern w:val="0"/>
              <w:sz w:val="28"/>
              <w:szCs w:val="44"/>
              <w:lang w:val="en-US" w:eastAsia="zh-CN"/>
            </w:rPr>
            <w:t>表</w:t>
          </w:r>
          <w:r>
            <w:rPr>
              <w:sz w:val="28"/>
              <w:szCs w:val="24"/>
            </w:rPr>
            <w:tab/>
          </w:r>
          <w:r>
            <w:rPr>
              <w:sz w:val="28"/>
              <w:szCs w:val="24"/>
            </w:rPr>
            <w:fldChar w:fldCharType="begin"/>
          </w:r>
          <w:r>
            <w:rPr>
              <w:sz w:val="28"/>
              <w:szCs w:val="24"/>
            </w:rPr>
            <w:instrText xml:space="preserve"> PAGEREF _Toc16610 \h </w:instrText>
          </w:r>
          <w:r>
            <w:rPr>
              <w:sz w:val="28"/>
              <w:szCs w:val="24"/>
            </w:rPr>
            <w:fldChar w:fldCharType="separate"/>
          </w:r>
          <w:r>
            <w:rPr>
              <w:sz w:val="28"/>
              <w:szCs w:val="24"/>
            </w:rPr>
            <w:t>17</w:t>
          </w:r>
          <w:r>
            <w:rPr>
              <w:sz w:val="28"/>
              <w:szCs w:val="24"/>
            </w:rPr>
            <w:fldChar w:fldCharType="end"/>
          </w:r>
          <w:r>
            <w:rPr>
              <w:sz w:val="28"/>
              <w:szCs w:val="24"/>
            </w:rPr>
            <w:fldChar w:fldCharType="end"/>
          </w:r>
        </w:p>
        <w:p w14:paraId="6E41512B">
          <w:pPr>
            <w:pStyle w:val="11"/>
            <w:tabs>
              <w:tab w:val="right" w:leader="dot" w:pos="8250"/>
            </w:tabs>
            <w:rPr>
              <w:sz w:val="28"/>
              <w:szCs w:val="24"/>
            </w:rPr>
          </w:pPr>
          <w:r>
            <w:rPr>
              <w:sz w:val="28"/>
              <w:szCs w:val="24"/>
            </w:rPr>
            <w:fldChar w:fldCharType="begin"/>
          </w:r>
          <w:r>
            <w:rPr>
              <w:sz w:val="28"/>
              <w:szCs w:val="24"/>
            </w:rPr>
            <w:instrText xml:space="preserve"> HYPERLINK \l _Toc6387 </w:instrText>
          </w:r>
          <w:r>
            <w:rPr>
              <w:sz w:val="28"/>
              <w:szCs w:val="24"/>
            </w:rPr>
            <w:fldChar w:fldCharType="separate"/>
          </w:r>
          <w:r>
            <w:rPr>
              <w:rFonts w:hint="eastAsia" w:ascii="楷体_GB2312" w:hAnsi="楷体_GB2312" w:eastAsia="楷体_GB2312" w:cs="楷体_GB2312"/>
              <w:b w:val="0"/>
              <w:bCs w:val="0"/>
              <w:kern w:val="0"/>
              <w:sz w:val="28"/>
              <w:szCs w:val="44"/>
            </w:rPr>
            <w:t>（二）项目单位没有制定相应的财务和业务管理制度</w:t>
          </w:r>
          <w:r>
            <w:rPr>
              <w:sz w:val="28"/>
              <w:szCs w:val="24"/>
            </w:rPr>
            <w:tab/>
          </w:r>
          <w:r>
            <w:rPr>
              <w:sz w:val="28"/>
              <w:szCs w:val="24"/>
            </w:rPr>
            <w:fldChar w:fldCharType="begin"/>
          </w:r>
          <w:r>
            <w:rPr>
              <w:sz w:val="28"/>
              <w:szCs w:val="24"/>
            </w:rPr>
            <w:instrText xml:space="preserve"> PAGEREF _Toc6387 \h </w:instrText>
          </w:r>
          <w:r>
            <w:rPr>
              <w:sz w:val="28"/>
              <w:szCs w:val="24"/>
            </w:rPr>
            <w:fldChar w:fldCharType="separate"/>
          </w:r>
          <w:r>
            <w:rPr>
              <w:sz w:val="28"/>
              <w:szCs w:val="24"/>
            </w:rPr>
            <w:t>17</w:t>
          </w:r>
          <w:r>
            <w:rPr>
              <w:sz w:val="28"/>
              <w:szCs w:val="24"/>
            </w:rPr>
            <w:fldChar w:fldCharType="end"/>
          </w:r>
          <w:r>
            <w:rPr>
              <w:sz w:val="28"/>
              <w:szCs w:val="24"/>
            </w:rPr>
            <w:fldChar w:fldCharType="end"/>
          </w:r>
        </w:p>
        <w:p w14:paraId="44B40ABD">
          <w:pPr>
            <w:pStyle w:val="11"/>
            <w:tabs>
              <w:tab w:val="right" w:leader="dot" w:pos="8250"/>
            </w:tabs>
            <w:rPr>
              <w:sz w:val="28"/>
              <w:szCs w:val="24"/>
            </w:rPr>
          </w:pPr>
          <w:r>
            <w:rPr>
              <w:sz w:val="28"/>
              <w:szCs w:val="24"/>
            </w:rPr>
            <w:fldChar w:fldCharType="begin"/>
          </w:r>
          <w:r>
            <w:rPr>
              <w:sz w:val="28"/>
              <w:szCs w:val="24"/>
            </w:rPr>
            <w:instrText xml:space="preserve"> HYPERLINK \l _Toc17841 </w:instrText>
          </w:r>
          <w:r>
            <w:rPr>
              <w:sz w:val="28"/>
              <w:szCs w:val="24"/>
            </w:rPr>
            <w:fldChar w:fldCharType="separate"/>
          </w:r>
          <w:r>
            <w:rPr>
              <w:rFonts w:hint="eastAsia" w:ascii="楷体_GB2312" w:hAnsi="楷体_GB2312" w:eastAsia="楷体_GB2312" w:cs="楷体_GB2312"/>
              <w:b w:val="0"/>
              <w:bCs w:val="0"/>
              <w:kern w:val="0"/>
              <w:sz w:val="28"/>
              <w:szCs w:val="44"/>
            </w:rPr>
            <w:t>（三）项目单位未编制自评报告、自评表</w:t>
          </w:r>
          <w:r>
            <w:rPr>
              <w:sz w:val="28"/>
              <w:szCs w:val="24"/>
            </w:rPr>
            <w:tab/>
          </w:r>
          <w:r>
            <w:rPr>
              <w:sz w:val="28"/>
              <w:szCs w:val="24"/>
            </w:rPr>
            <w:fldChar w:fldCharType="begin"/>
          </w:r>
          <w:r>
            <w:rPr>
              <w:sz w:val="28"/>
              <w:szCs w:val="24"/>
            </w:rPr>
            <w:instrText xml:space="preserve"> PAGEREF _Toc17841 \h </w:instrText>
          </w:r>
          <w:r>
            <w:rPr>
              <w:sz w:val="28"/>
              <w:szCs w:val="24"/>
            </w:rPr>
            <w:fldChar w:fldCharType="separate"/>
          </w:r>
          <w:r>
            <w:rPr>
              <w:sz w:val="28"/>
              <w:szCs w:val="24"/>
            </w:rPr>
            <w:t>17</w:t>
          </w:r>
          <w:r>
            <w:rPr>
              <w:sz w:val="28"/>
              <w:szCs w:val="24"/>
            </w:rPr>
            <w:fldChar w:fldCharType="end"/>
          </w:r>
          <w:r>
            <w:rPr>
              <w:sz w:val="28"/>
              <w:szCs w:val="24"/>
            </w:rPr>
            <w:fldChar w:fldCharType="end"/>
          </w:r>
        </w:p>
        <w:p w14:paraId="1CF2C53D">
          <w:pPr>
            <w:pStyle w:val="10"/>
            <w:tabs>
              <w:tab w:val="right" w:leader="dot" w:pos="8250"/>
            </w:tabs>
            <w:rPr>
              <w:sz w:val="28"/>
              <w:szCs w:val="24"/>
            </w:rPr>
          </w:pPr>
          <w:r>
            <w:rPr>
              <w:sz w:val="28"/>
              <w:szCs w:val="24"/>
            </w:rPr>
            <w:fldChar w:fldCharType="begin"/>
          </w:r>
          <w:r>
            <w:rPr>
              <w:sz w:val="28"/>
              <w:szCs w:val="24"/>
            </w:rPr>
            <w:instrText xml:space="preserve"> HYPERLINK \l _Toc14739 </w:instrText>
          </w:r>
          <w:r>
            <w:rPr>
              <w:sz w:val="28"/>
              <w:szCs w:val="24"/>
            </w:rPr>
            <w:fldChar w:fldCharType="separate"/>
          </w:r>
          <w:r>
            <w:rPr>
              <w:rFonts w:hint="eastAsia" w:ascii="黑体" w:hAnsi="黑体" w:eastAsia="黑体" w:cs="黑体"/>
              <w:spacing w:val="-2"/>
              <w:sz w:val="28"/>
              <w:szCs w:val="44"/>
              <w:lang w:val="en-US" w:eastAsia="zh-CN"/>
            </w:rPr>
            <w:t>六</w:t>
          </w:r>
          <w:r>
            <w:rPr>
              <w:rFonts w:hint="eastAsia" w:ascii="黑体" w:hAnsi="黑体" w:eastAsia="黑体" w:cs="黑体"/>
              <w:spacing w:val="-2"/>
              <w:sz w:val="28"/>
              <w:szCs w:val="44"/>
            </w:rPr>
            <w:t>、建议</w:t>
          </w:r>
          <w:r>
            <w:rPr>
              <w:sz w:val="28"/>
              <w:szCs w:val="24"/>
            </w:rPr>
            <w:tab/>
          </w:r>
          <w:r>
            <w:rPr>
              <w:sz w:val="28"/>
              <w:szCs w:val="24"/>
            </w:rPr>
            <w:fldChar w:fldCharType="begin"/>
          </w:r>
          <w:r>
            <w:rPr>
              <w:sz w:val="28"/>
              <w:szCs w:val="24"/>
            </w:rPr>
            <w:instrText xml:space="preserve"> PAGEREF _Toc14739 \h </w:instrText>
          </w:r>
          <w:r>
            <w:rPr>
              <w:sz w:val="28"/>
              <w:szCs w:val="24"/>
            </w:rPr>
            <w:fldChar w:fldCharType="separate"/>
          </w:r>
          <w:r>
            <w:rPr>
              <w:sz w:val="28"/>
              <w:szCs w:val="24"/>
            </w:rPr>
            <w:t>17</w:t>
          </w:r>
          <w:r>
            <w:rPr>
              <w:sz w:val="28"/>
              <w:szCs w:val="24"/>
            </w:rPr>
            <w:fldChar w:fldCharType="end"/>
          </w:r>
          <w:r>
            <w:rPr>
              <w:sz w:val="28"/>
              <w:szCs w:val="24"/>
            </w:rPr>
            <w:fldChar w:fldCharType="end"/>
          </w:r>
        </w:p>
        <w:p w14:paraId="4589A042">
          <w:pPr>
            <w:pStyle w:val="11"/>
            <w:tabs>
              <w:tab w:val="right" w:leader="dot" w:pos="8250"/>
            </w:tabs>
            <w:rPr>
              <w:sz w:val="28"/>
              <w:szCs w:val="24"/>
            </w:rPr>
          </w:pPr>
          <w:r>
            <w:rPr>
              <w:sz w:val="28"/>
              <w:szCs w:val="24"/>
            </w:rPr>
            <w:fldChar w:fldCharType="begin"/>
          </w:r>
          <w:r>
            <w:rPr>
              <w:sz w:val="28"/>
              <w:szCs w:val="24"/>
            </w:rPr>
            <w:instrText xml:space="preserve"> HYPERLINK \l _Toc25802 </w:instrText>
          </w:r>
          <w:r>
            <w:rPr>
              <w:sz w:val="28"/>
              <w:szCs w:val="24"/>
            </w:rPr>
            <w:fldChar w:fldCharType="separate"/>
          </w:r>
          <w:r>
            <w:rPr>
              <w:rFonts w:hint="eastAsia" w:ascii="楷体_GB2312" w:hAnsi="楷体_GB2312" w:eastAsia="楷体_GB2312" w:cs="楷体_GB2312"/>
              <w:b w:val="0"/>
              <w:bCs w:val="0"/>
              <w:kern w:val="0"/>
              <w:sz w:val="28"/>
              <w:szCs w:val="44"/>
            </w:rPr>
            <w:t>（一）根据项目实际情况设置绩效目标及指标</w:t>
          </w:r>
          <w:r>
            <w:rPr>
              <w:sz w:val="28"/>
              <w:szCs w:val="24"/>
            </w:rPr>
            <w:tab/>
          </w:r>
          <w:r>
            <w:rPr>
              <w:sz w:val="28"/>
              <w:szCs w:val="24"/>
            </w:rPr>
            <w:fldChar w:fldCharType="begin"/>
          </w:r>
          <w:r>
            <w:rPr>
              <w:sz w:val="28"/>
              <w:szCs w:val="24"/>
            </w:rPr>
            <w:instrText xml:space="preserve"> PAGEREF _Toc25802 \h </w:instrText>
          </w:r>
          <w:r>
            <w:rPr>
              <w:sz w:val="28"/>
              <w:szCs w:val="24"/>
            </w:rPr>
            <w:fldChar w:fldCharType="separate"/>
          </w:r>
          <w:r>
            <w:rPr>
              <w:sz w:val="28"/>
              <w:szCs w:val="24"/>
            </w:rPr>
            <w:t>17</w:t>
          </w:r>
          <w:r>
            <w:rPr>
              <w:sz w:val="28"/>
              <w:szCs w:val="24"/>
            </w:rPr>
            <w:fldChar w:fldCharType="end"/>
          </w:r>
          <w:r>
            <w:rPr>
              <w:sz w:val="28"/>
              <w:szCs w:val="24"/>
            </w:rPr>
            <w:fldChar w:fldCharType="end"/>
          </w:r>
        </w:p>
        <w:p w14:paraId="31181AE4">
          <w:pPr>
            <w:pStyle w:val="11"/>
            <w:tabs>
              <w:tab w:val="right" w:leader="dot" w:pos="8250"/>
            </w:tabs>
            <w:rPr>
              <w:sz w:val="28"/>
              <w:szCs w:val="24"/>
            </w:rPr>
          </w:pPr>
          <w:r>
            <w:rPr>
              <w:sz w:val="28"/>
              <w:szCs w:val="24"/>
            </w:rPr>
            <w:fldChar w:fldCharType="begin"/>
          </w:r>
          <w:r>
            <w:rPr>
              <w:sz w:val="28"/>
              <w:szCs w:val="24"/>
            </w:rPr>
            <w:instrText xml:space="preserve"> HYPERLINK \l _Toc12028 </w:instrText>
          </w:r>
          <w:r>
            <w:rPr>
              <w:sz w:val="28"/>
              <w:szCs w:val="24"/>
            </w:rPr>
            <w:fldChar w:fldCharType="separate"/>
          </w:r>
          <w:r>
            <w:rPr>
              <w:rFonts w:hint="eastAsia" w:ascii="楷体_GB2312" w:hAnsi="楷体_GB2312" w:eastAsia="楷体_GB2312" w:cs="楷体_GB2312"/>
              <w:b w:val="0"/>
              <w:bCs w:val="0"/>
              <w:kern w:val="0"/>
              <w:sz w:val="28"/>
              <w:szCs w:val="44"/>
            </w:rPr>
            <w:t>（二）制定有关制度，加强绩效管理</w:t>
          </w:r>
          <w:r>
            <w:rPr>
              <w:sz w:val="28"/>
              <w:szCs w:val="24"/>
            </w:rPr>
            <w:tab/>
          </w:r>
          <w:r>
            <w:rPr>
              <w:sz w:val="28"/>
              <w:szCs w:val="24"/>
            </w:rPr>
            <w:fldChar w:fldCharType="begin"/>
          </w:r>
          <w:r>
            <w:rPr>
              <w:sz w:val="28"/>
              <w:szCs w:val="24"/>
            </w:rPr>
            <w:instrText xml:space="preserve"> PAGEREF _Toc12028 \h </w:instrText>
          </w:r>
          <w:r>
            <w:rPr>
              <w:sz w:val="28"/>
              <w:szCs w:val="24"/>
            </w:rPr>
            <w:fldChar w:fldCharType="separate"/>
          </w:r>
          <w:r>
            <w:rPr>
              <w:sz w:val="28"/>
              <w:szCs w:val="24"/>
            </w:rPr>
            <w:t>18</w:t>
          </w:r>
          <w:r>
            <w:rPr>
              <w:sz w:val="28"/>
              <w:szCs w:val="24"/>
            </w:rPr>
            <w:fldChar w:fldCharType="end"/>
          </w:r>
          <w:r>
            <w:rPr>
              <w:sz w:val="28"/>
              <w:szCs w:val="24"/>
            </w:rPr>
            <w:fldChar w:fldCharType="end"/>
          </w:r>
        </w:p>
        <w:p w14:paraId="776CD112">
          <w:pPr>
            <w:pStyle w:val="11"/>
            <w:tabs>
              <w:tab w:val="right" w:leader="dot" w:pos="8250"/>
            </w:tabs>
            <w:rPr>
              <w:sz w:val="28"/>
              <w:szCs w:val="24"/>
            </w:rPr>
          </w:pPr>
          <w:r>
            <w:rPr>
              <w:sz w:val="28"/>
              <w:szCs w:val="24"/>
            </w:rPr>
            <w:fldChar w:fldCharType="begin"/>
          </w:r>
          <w:r>
            <w:rPr>
              <w:sz w:val="28"/>
              <w:szCs w:val="24"/>
            </w:rPr>
            <w:instrText xml:space="preserve"> HYPERLINK \l _Toc2959 </w:instrText>
          </w:r>
          <w:r>
            <w:rPr>
              <w:sz w:val="28"/>
              <w:szCs w:val="24"/>
            </w:rPr>
            <w:fldChar w:fldCharType="separate"/>
          </w:r>
          <w:r>
            <w:rPr>
              <w:rFonts w:hint="eastAsia" w:ascii="楷体_GB2312" w:hAnsi="楷体_GB2312" w:eastAsia="楷体_GB2312" w:cs="楷体_GB2312"/>
              <w:b w:val="0"/>
              <w:bCs w:val="0"/>
              <w:kern w:val="0"/>
              <w:sz w:val="28"/>
              <w:szCs w:val="44"/>
            </w:rPr>
            <w:t>（三）及时进行绩效自评</w:t>
          </w:r>
          <w:r>
            <w:rPr>
              <w:sz w:val="28"/>
              <w:szCs w:val="24"/>
            </w:rPr>
            <w:tab/>
          </w:r>
          <w:r>
            <w:rPr>
              <w:sz w:val="28"/>
              <w:szCs w:val="24"/>
            </w:rPr>
            <w:fldChar w:fldCharType="begin"/>
          </w:r>
          <w:r>
            <w:rPr>
              <w:sz w:val="28"/>
              <w:szCs w:val="24"/>
            </w:rPr>
            <w:instrText xml:space="preserve"> PAGEREF _Toc2959 \h </w:instrText>
          </w:r>
          <w:r>
            <w:rPr>
              <w:sz w:val="28"/>
              <w:szCs w:val="24"/>
            </w:rPr>
            <w:fldChar w:fldCharType="separate"/>
          </w:r>
          <w:r>
            <w:rPr>
              <w:sz w:val="28"/>
              <w:szCs w:val="24"/>
            </w:rPr>
            <w:t>18</w:t>
          </w:r>
          <w:r>
            <w:rPr>
              <w:sz w:val="28"/>
              <w:szCs w:val="24"/>
            </w:rPr>
            <w:fldChar w:fldCharType="end"/>
          </w:r>
          <w:r>
            <w:rPr>
              <w:sz w:val="28"/>
              <w:szCs w:val="24"/>
            </w:rPr>
            <w:fldChar w:fldCharType="end"/>
          </w:r>
        </w:p>
        <w:p w14:paraId="01E4E389">
          <w:pPr>
            <w:pStyle w:val="10"/>
            <w:tabs>
              <w:tab w:val="right" w:leader="dot" w:pos="8250"/>
            </w:tabs>
            <w:rPr>
              <w:sz w:val="28"/>
              <w:szCs w:val="24"/>
            </w:rPr>
          </w:pPr>
          <w:r>
            <w:rPr>
              <w:sz w:val="28"/>
              <w:szCs w:val="24"/>
            </w:rPr>
            <w:fldChar w:fldCharType="begin"/>
          </w:r>
          <w:r>
            <w:rPr>
              <w:sz w:val="28"/>
              <w:szCs w:val="24"/>
            </w:rPr>
            <w:instrText xml:space="preserve"> HYPERLINK \l _Toc10318 </w:instrText>
          </w:r>
          <w:r>
            <w:rPr>
              <w:sz w:val="28"/>
              <w:szCs w:val="24"/>
            </w:rPr>
            <w:fldChar w:fldCharType="separate"/>
          </w:r>
          <w:r>
            <w:rPr>
              <w:rFonts w:hint="eastAsia" w:ascii="仿宋" w:hAnsi="仿宋" w:eastAsia="仿宋" w:cs="仿宋"/>
              <w:kern w:val="0"/>
              <w:sz w:val="28"/>
              <w:szCs w:val="44"/>
            </w:rPr>
            <w:t>附</w:t>
          </w:r>
          <w:r>
            <w:rPr>
              <w:rFonts w:hint="eastAsia" w:ascii="仿宋" w:hAnsi="仿宋" w:eastAsia="仿宋" w:cs="仿宋"/>
              <w:kern w:val="0"/>
              <w:sz w:val="28"/>
              <w:szCs w:val="44"/>
              <w:lang w:val="en-US" w:eastAsia="zh-CN"/>
            </w:rPr>
            <w:t>件</w:t>
          </w:r>
          <w:r>
            <w:rPr>
              <w:rFonts w:hint="eastAsia" w:ascii="仿宋" w:hAnsi="仿宋" w:eastAsia="仿宋" w:cs="仿宋"/>
              <w:kern w:val="0"/>
              <w:sz w:val="28"/>
              <w:szCs w:val="44"/>
            </w:rPr>
            <w:t>1.项目绩效评价指标体系打分表</w:t>
          </w:r>
          <w:r>
            <w:rPr>
              <w:sz w:val="28"/>
              <w:szCs w:val="24"/>
            </w:rPr>
            <w:tab/>
          </w:r>
          <w:r>
            <w:rPr>
              <w:sz w:val="28"/>
              <w:szCs w:val="24"/>
            </w:rPr>
            <w:fldChar w:fldCharType="begin"/>
          </w:r>
          <w:r>
            <w:rPr>
              <w:sz w:val="28"/>
              <w:szCs w:val="24"/>
            </w:rPr>
            <w:instrText xml:space="preserve"> PAGEREF _Toc10318 \h </w:instrText>
          </w:r>
          <w:r>
            <w:rPr>
              <w:sz w:val="28"/>
              <w:szCs w:val="24"/>
            </w:rPr>
            <w:fldChar w:fldCharType="separate"/>
          </w:r>
          <w:r>
            <w:rPr>
              <w:sz w:val="28"/>
              <w:szCs w:val="24"/>
            </w:rPr>
            <w:t>18</w:t>
          </w:r>
          <w:r>
            <w:rPr>
              <w:sz w:val="28"/>
              <w:szCs w:val="24"/>
            </w:rPr>
            <w:fldChar w:fldCharType="end"/>
          </w:r>
          <w:r>
            <w:rPr>
              <w:sz w:val="28"/>
              <w:szCs w:val="24"/>
            </w:rPr>
            <w:fldChar w:fldCharType="end"/>
          </w:r>
        </w:p>
        <w:p w14:paraId="01AB97AD">
          <w:pPr>
            <w:jc w:val="center"/>
          </w:pPr>
          <w:r>
            <w:rPr>
              <w:b/>
              <w:sz w:val="28"/>
              <w:szCs w:val="24"/>
            </w:rPr>
            <w:fldChar w:fldCharType="end"/>
          </w:r>
          <w:bookmarkStart w:id="3" w:name="_Toc7428"/>
        </w:p>
      </w:sdtContent>
    </w:sdt>
    <w:p w14:paraId="5955AF67">
      <w:pPr>
        <w:jc w:val="center"/>
        <w:outlineLvl w:val="0"/>
        <w:rPr>
          <w:rFonts w:ascii="宋体" w:hAnsi="宋体" w:cs="宋体"/>
          <w:b/>
          <w:bCs/>
          <w:spacing w:val="-3"/>
          <w:sz w:val="36"/>
          <w:szCs w:val="36"/>
          <w14:textOutline w14:w="6540" w14:cap="sq" w14:cmpd="sng" w14:algn="ctr">
            <w14:solidFill>
              <w14:srgbClr w14:val="000000"/>
            </w14:solidFill>
            <w14:prstDash w14:val="solid"/>
            <w14:bevel/>
          </w14:textOutline>
        </w:rPr>
        <w:sectPr>
          <w:footerReference r:id="rId4" w:type="default"/>
          <w:pgSz w:w="11850" w:h="16783"/>
          <w:pgMar w:top="1440" w:right="1800" w:bottom="1440" w:left="1800" w:header="567" w:footer="992" w:gutter="0"/>
          <w:pgNumType w:start="1"/>
          <w:cols w:space="720" w:num="1"/>
          <w:docGrid w:type="lines" w:linePitch="312" w:charSpace="0"/>
        </w:sectPr>
      </w:pPr>
    </w:p>
    <w:p w14:paraId="0DA88B0E">
      <w:pPr>
        <w:jc w:val="center"/>
        <w:outlineLvl w:val="0"/>
        <w:rPr>
          <w:rFonts w:ascii="宋体" w:hAnsi="宋体" w:cs="宋体"/>
          <w:b/>
          <w:bCs/>
          <w:spacing w:val="-3"/>
          <w:sz w:val="36"/>
          <w:szCs w:val="36"/>
          <w14:textOutline w14:w="6540" w14:cap="sq" w14:cmpd="sng" w14:algn="ctr">
            <w14:solidFill>
              <w14:srgbClr w14:val="000000"/>
            </w14:solidFill>
            <w14:prstDash w14:val="solid"/>
            <w14:bevel/>
          </w14:textOutline>
        </w:rPr>
      </w:pPr>
      <w:bookmarkStart w:id="4" w:name="_Toc29096"/>
      <w:r>
        <w:rPr>
          <w:rFonts w:ascii="宋体" w:hAnsi="宋体" w:cs="宋体"/>
          <w:b/>
          <w:bCs/>
          <w:spacing w:val="-3"/>
          <w:sz w:val="36"/>
          <w:szCs w:val="36"/>
          <w14:textOutline w14:w="6540" w14:cap="sq" w14:cmpd="sng" w14:algn="ctr">
            <w14:solidFill>
              <w14:srgbClr w14:val="000000"/>
            </w14:solidFill>
            <w14:prstDash w14:val="solid"/>
            <w14:bevel/>
          </w14:textOutline>
        </w:rPr>
        <w:t>摘</w:t>
      </w:r>
      <w:r>
        <w:rPr>
          <w:rFonts w:ascii="宋体" w:hAnsi="宋体" w:cs="宋体"/>
          <w:b/>
          <w:bCs/>
          <w:spacing w:val="27"/>
          <w:sz w:val="36"/>
          <w:szCs w:val="36"/>
        </w:rPr>
        <w:t xml:space="preserve"> </w:t>
      </w:r>
      <w:r>
        <w:rPr>
          <w:rFonts w:ascii="宋体" w:hAnsi="宋体" w:cs="宋体"/>
          <w:b/>
          <w:bCs/>
          <w:spacing w:val="-3"/>
          <w:sz w:val="36"/>
          <w:szCs w:val="36"/>
          <w14:textOutline w14:w="6540" w14:cap="sq" w14:cmpd="sng" w14:algn="ctr">
            <w14:solidFill>
              <w14:srgbClr w14:val="000000"/>
            </w14:solidFill>
            <w14:prstDash w14:val="solid"/>
            <w14:bevel/>
          </w14:textOutline>
        </w:rPr>
        <w:t>要</w:t>
      </w:r>
      <w:bookmarkEnd w:id="3"/>
      <w:bookmarkEnd w:id="4"/>
    </w:p>
    <w:p w14:paraId="754613B9">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根据《陕西省教育厅关于做好普通高中学业水平考试信息技术科目机考考点建设的通知》(陕教函[2022]1228号)和《宝鸡市教育局关于做好2023年普通高中学业水平考试理化生实验操作考试工作的通知》(宝市教发[20221243号)要求，扶风县从2022年秋季入学的高一级新生开始启动新一轮高考综合改革，面对新课程、新教材和新高考，扶风高中现有教育教学设施设备已难以达到新高考改革标准，无法完成新高考改革任务。扶风县教育体育局根据实际制定了教育教学设施设备改造提升方案，计划实施教育教学设施设备改造提升</w:t>
      </w:r>
      <w:r>
        <w:rPr>
          <w:rFonts w:hint="eastAsia" w:ascii="仿宋" w:hAnsi="仿宋" w:eastAsia="仿宋" w:cs="仿宋"/>
          <w:kern w:val="0"/>
          <w:sz w:val="32"/>
          <w:szCs w:val="32"/>
          <w:highlight w:val="none"/>
        </w:rPr>
        <w:t>。</w:t>
      </w:r>
      <w:r>
        <w:rPr>
          <w:rFonts w:hint="eastAsia" w:ascii="仿宋" w:hAnsi="仿宋" w:eastAsia="仿宋" w:cs="仿宋"/>
          <w:kern w:val="0"/>
          <w:sz w:val="32"/>
          <w:szCs w:val="32"/>
        </w:rPr>
        <w:t>项目主管部门为扶风县教育体育局，由扶风县扶风高中实施。项目预算资金700万元，项目到位资金700万元，项目资金支付696.49万元，项目结余资金3.51万元。</w:t>
      </w:r>
    </w:p>
    <w:p w14:paraId="00375CF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按照确定的评分细则，对各项指标逐一评价打分，教学设施、设备改造提升补助-扶风高中绩效评价得分为</w:t>
      </w:r>
      <w:r>
        <w:rPr>
          <w:rFonts w:hint="eastAsia" w:ascii="仿宋" w:hAnsi="仿宋" w:eastAsia="仿宋" w:cs="仿宋"/>
          <w:kern w:val="0"/>
          <w:sz w:val="32"/>
          <w:szCs w:val="32"/>
          <w:lang w:val="en-US" w:eastAsia="zh-CN"/>
        </w:rPr>
        <w:t>95.5</w:t>
      </w:r>
      <w:r>
        <w:rPr>
          <w:rFonts w:hint="eastAsia" w:ascii="仿宋" w:hAnsi="仿宋" w:eastAsia="仿宋" w:cs="仿宋"/>
          <w:kern w:val="0"/>
          <w:sz w:val="32"/>
          <w:szCs w:val="32"/>
        </w:rPr>
        <w:t>分，评价结果等级为“</w:t>
      </w:r>
      <w:r>
        <w:rPr>
          <w:rFonts w:hint="eastAsia" w:ascii="仿宋" w:hAnsi="仿宋" w:eastAsia="仿宋" w:cs="仿宋"/>
          <w:kern w:val="0"/>
          <w:sz w:val="32"/>
          <w:szCs w:val="32"/>
          <w:lang w:val="en-US" w:eastAsia="zh-CN"/>
        </w:rPr>
        <w:t>优</w:t>
      </w:r>
      <w:r>
        <w:rPr>
          <w:rFonts w:hint="eastAsia" w:ascii="仿宋" w:hAnsi="仿宋" w:eastAsia="仿宋" w:cs="仿宋"/>
          <w:kern w:val="0"/>
          <w:sz w:val="32"/>
          <w:szCs w:val="32"/>
        </w:rPr>
        <w:t>”。</w:t>
      </w:r>
    </w:p>
    <w:p w14:paraId="02DB7C69">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存在的问题：①</w:t>
      </w:r>
      <w:r>
        <w:rPr>
          <w:rFonts w:hint="eastAsia" w:ascii="仿宋" w:hAnsi="仿宋" w:eastAsia="仿宋" w:cs="仿宋"/>
          <w:kern w:val="0"/>
          <w:sz w:val="32"/>
          <w:szCs w:val="32"/>
          <w:lang w:val="en-US" w:eastAsia="zh-CN"/>
        </w:rPr>
        <w:t>绩效指标不够明确</w:t>
      </w:r>
      <w:r>
        <w:rPr>
          <w:rFonts w:hint="eastAsia" w:ascii="仿宋" w:hAnsi="仿宋" w:eastAsia="仿宋" w:cs="仿宋"/>
          <w:kern w:val="0"/>
          <w:sz w:val="32"/>
          <w:szCs w:val="32"/>
        </w:rPr>
        <w:t>；②项目单位</w:t>
      </w:r>
      <w:r>
        <w:rPr>
          <w:rFonts w:hint="eastAsia" w:ascii="仿宋" w:hAnsi="仿宋" w:eastAsia="仿宋" w:cs="仿宋"/>
          <w:kern w:val="0"/>
          <w:sz w:val="32"/>
          <w:szCs w:val="32"/>
          <w:lang w:val="en-US" w:eastAsia="zh-CN"/>
        </w:rPr>
        <w:t>未</w:t>
      </w:r>
      <w:r>
        <w:rPr>
          <w:rFonts w:hint="eastAsia" w:ascii="仿宋" w:hAnsi="仿宋" w:eastAsia="仿宋" w:cs="仿宋"/>
          <w:kern w:val="0"/>
          <w:sz w:val="32"/>
          <w:szCs w:val="32"/>
        </w:rPr>
        <w:t>制定相应的财务管理制度；③项目单位</w:t>
      </w:r>
      <w:r>
        <w:rPr>
          <w:rFonts w:hint="eastAsia" w:ascii="仿宋" w:hAnsi="仿宋" w:eastAsia="仿宋" w:cs="仿宋"/>
          <w:kern w:val="0"/>
          <w:sz w:val="32"/>
          <w:szCs w:val="32"/>
          <w:lang w:val="en-US" w:eastAsia="zh-CN"/>
        </w:rPr>
        <w:t>在</w:t>
      </w:r>
      <w:r>
        <w:rPr>
          <w:rFonts w:hint="eastAsia" w:ascii="仿宋" w:hAnsi="仿宋" w:eastAsia="仿宋" w:cs="仿宋"/>
          <w:kern w:val="0"/>
          <w:sz w:val="32"/>
          <w:szCs w:val="32"/>
        </w:rPr>
        <w:t>自评报告</w:t>
      </w:r>
      <w:r>
        <w:rPr>
          <w:rFonts w:hint="eastAsia" w:ascii="仿宋" w:hAnsi="仿宋" w:eastAsia="仿宋" w:cs="仿宋"/>
          <w:kern w:val="0"/>
          <w:sz w:val="32"/>
          <w:szCs w:val="32"/>
          <w:lang w:val="en-US" w:eastAsia="zh-CN"/>
        </w:rPr>
        <w:t>中产出无数量，未编制</w:t>
      </w:r>
      <w:r>
        <w:rPr>
          <w:rFonts w:hint="eastAsia" w:ascii="仿宋" w:hAnsi="仿宋" w:eastAsia="仿宋" w:cs="仿宋"/>
          <w:kern w:val="0"/>
          <w:sz w:val="32"/>
          <w:szCs w:val="32"/>
        </w:rPr>
        <w:t>自评表。</w:t>
      </w:r>
    </w:p>
    <w:p w14:paraId="0FBAE6F8">
      <w:pPr>
        <w:spacing w:line="600" w:lineRule="exact"/>
        <w:ind w:firstLine="640" w:firstLineChars="200"/>
        <w:rPr>
          <w:rFonts w:ascii="仿宋" w:hAnsi="仿宋" w:eastAsia="仿宋" w:cs="仿宋"/>
          <w:kern w:val="0"/>
          <w:sz w:val="32"/>
          <w:szCs w:val="32"/>
        </w:rPr>
        <w:sectPr>
          <w:footerReference r:id="rId5" w:type="default"/>
          <w:pgSz w:w="11850" w:h="16783"/>
          <w:pgMar w:top="1440" w:right="1800" w:bottom="1440" w:left="1800" w:header="567" w:footer="992" w:gutter="0"/>
          <w:pgNumType w:start="1"/>
          <w:cols w:space="720" w:num="1"/>
          <w:docGrid w:type="lines" w:linePitch="312" w:charSpace="0"/>
        </w:sectPr>
      </w:pPr>
      <w:r>
        <w:rPr>
          <w:rFonts w:hint="eastAsia" w:ascii="仿宋" w:hAnsi="仿宋" w:eastAsia="仿宋" w:cs="仿宋"/>
          <w:kern w:val="0"/>
          <w:sz w:val="32"/>
          <w:szCs w:val="32"/>
        </w:rPr>
        <w:t>具体内容详见报告正文。</w:t>
      </w:r>
    </w:p>
    <w:p w14:paraId="4A403B7B">
      <w:pPr>
        <w:spacing w:line="600" w:lineRule="exact"/>
        <w:ind w:firstLine="723"/>
        <w:jc w:val="center"/>
        <w:outlineLvl w:val="9"/>
        <w:rPr>
          <w:rFonts w:hint="eastAsia" w:ascii="方正小标宋_GBK" w:hAnsi="方正小标宋_GBK" w:eastAsia="方正小标宋_GBK" w:cs="方正小标宋_GBK"/>
          <w:b/>
          <w:bCs/>
          <w:kern w:val="2"/>
          <w:sz w:val="36"/>
          <w:szCs w:val="36"/>
        </w:rPr>
      </w:pPr>
      <w:r>
        <w:rPr>
          <w:rFonts w:hint="eastAsia" w:ascii="方正小标宋_GBK" w:hAnsi="方正小标宋_GBK" w:eastAsia="方正小标宋_GBK" w:cs="方正小标宋_GBK"/>
          <w:b/>
          <w:bCs/>
          <w:kern w:val="2"/>
          <w:sz w:val="36"/>
          <w:szCs w:val="36"/>
        </w:rPr>
        <w:t>教学设施、设备改造提升补助-扶风高中</w:t>
      </w:r>
    </w:p>
    <w:p w14:paraId="7C2451DC">
      <w:pPr>
        <w:spacing w:line="600" w:lineRule="exact"/>
        <w:ind w:firstLine="723"/>
        <w:jc w:val="center"/>
        <w:outlineLvl w:val="9"/>
        <w:rPr>
          <w:rFonts w:hint="eastAsia" w:asciiTheme="majorEastAsia" w:hAnsiTheme="majorEastAsia" w:eastAsiaTheme="majorEastAsia" w:cstheme="majorEastAsia"/>
          <w:b/>
          <w:bCs/>
          <w:kern w:val="2"/>
          <w:sz w:val="36"/>
          <w:szCs w:val="36"/>
        </w:rPr>
      </w:pPr>
      <w:bookmarkStart w:id="5" w:name="_Toc3207"/>
      <w:bookmarkStart w:id="6" w:name="_Toc3198"/>
      <w:r>
        <w:rPr>
          <w:rFonts w:hint="eastAsia" w:ascii="方正小标宋_GBK" w:hAnsi="方正小标宋_GBK" w:eastAsia="方正小标宋_GBK" w:cs="方正小标宋_GBK"/>
          <w:b/>
          <w:bCs/>
          <w:kern w:val="2"/>
          <w:sz w:val="36"/>
          <w:szCs w:val="36"/>
        </w:rPr>
        <w:t>绩效评价报告</w:t>
      </w:r>
      <w:bookmarkEnd w:id="5"/>
      <w:bookmarkEnd w:id="6"/>
    </w:p>
    <w:p w14:paraId="1ED65F17">
      <w:pPr>
        <w:spacing w:line="600" w:lineRule="exact"/>
        <w:ind w:firstLine="640" w:firstLineChars="200"/>
        <w:rPr>
          <w:rFonts w:ascii="仿宋" w:hAnsi="仿宋" w:eastAsia="仿宋" w:cs="仿宋"/>
          <w:kern w:val="0"/>
          <w:sz w:val="32"/>
          <w:szCs w:val="32"/>
        </w:rPr>
      </w:pPr>
      <w:bookmarkStart w:id="7" w:name="_Toc12937"/>
      <w:bookmarkStart w:id="8" w:name="_Toc9863"/>
      <w:bookmarkStart w:id="9" w:name="_Toc23524"/>
      <w:r>
        <w:rPr>
          <w:rFonts w:hint="eastAsia" w:ascii="仿宋" w:hAnsi="仿宋" w:eastAsia="仿宋" w:cs="仿宋"/>
          <w:kern w:val="0"/>
          <w:sz w:val="32"/>
          <w:szCs w:val="32"/>
        </w:rPr>
        <w:t>为进一步加强财政资金管理，强化支出责任和效率意识，增加财政资金的使用效益，更好</w:t>
      </w:r>
      <w:r>
        <w:rPr>
          <w:rFonts w:hint="eastAsia" w:ascii="仿宋" w:hAnsi="仿宋" w:eastAsia="仿宋" w:cs="仿宋"/>
          <w:kern w:val="0"/>
          <w:sz w:val="32"/>
          <w:szCs w:val="32"/>
          <w:lang w:val="en-US" w:eastAsia="zh-CN"/>
        </w:rPr>
        <w:t>地</w:t>
      </w:r>
      <w:r>
        <w:rPr>
          <w:rFonts w:hint="eastAsia" w:ascii="仿宋" w:hAnsi="仿宋" w:eastAsia="仿宋" w:cs="仿宋"/>
          <w:kern w:val="0"/>
          <w:sz w:val="32"/>
          <w:szCs w:val="32"/>
        </w:rPr>
        <w:t>优化资源配置，控制节约成本、提升公共产品质量和公共服务水平，扶风县财政局组织开展了2023</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财政专项资金重点项目绩效评价工作。于2024</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5</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rPr>
        <w:t>13</w:t>
      </w:r>
      <w:r>
        <w:rPr>
          <w:rFonts w:hint="eastAsia" w:ascii="仿宋" w:hAnsi="仿宋" w:eastAsia="仿宋" w:cs="仿宋"/>
          <w:kern w:val="0"/>
          <w:sz w:val="32"/>
          <w:szCs w:val="32"/>
          <w:lang w:val="en-US" w:eastAsia="zh-CN"/>
        </w:rPr>
        <w:t>日</w:t>
      </w:r>
      <w:r>
        <w:rPr>
          <w:rFonts w:hint="eastAsia" w:ascii="仿宋" w:hAnsi="仿宋" w:eastAsia="仿宋" w:cs="仿宋"/>
          <w:kern w:val="0"/>
          <w:sz w:val="32"/>
          <w:szCs w:val="32"/>
        </w:rPr>
        <w:t>至2024</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6</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rPr>
        <w:t>17</w:t>
      </w:r>
      <w:r>
        <w:rPr>
          <w:rFonts w:hint="eastAsia" w:ascii="仿宋" w:hAnsi="仿宋" w:eastAsia="仿宋" w:cs="仿宋"/>
          <w:kern w:val="0"/>
          <w:sz w:val="32"/>
          <w:szCs w:val="32"/>
          <w:lang w:val="en-US" w:eastAsia="zh-CN"/>
        </w:rPr>
        <w:t>日</w:t>
      </w:r>
      <w:r>
        <w:rPr>
          <w:rFonts w:hint="eastAsia" w:ascii="仿宋" w:hAnsi="仿宋" w:eastAsia="仿宋" w:cs="仿宋"/>
          <w:kern w:val="0"/>
          <w:sz w:val="32"/>
          <w:szCs w:val="32"/>
        </w:rPr>
        <w:t>，对教学设施、设备改造提升补助-扶风高中进行绩效评价。现将评价情况报告如下：</w:t>
      </w:r>
    </w:p>
    <w:p w14:paraId="4DA7B552">
      <w:pPr>
        <w:pStyle w:val="2"/>
        <w:bidi w:val="0"/>
      </w:pPr>
      <w:bookmarkStart w:id="10" w:name="_Toc19393"/>
      <w:r>
        <w:rPr>
          <w:rFonts w:hint="eastAsia"/>
        </w:rPr>
        <w:t>一、</w:t>
      </w:r>
      <w:bookmarkEnd w:id="7"/>
      <w:r>
        <w:rPr>
          <w:rFonts w:hint="eastAsia"/>
        </w:rPr>
        <w:t>基本情况</w:t>
      </w:r>
      <w:bookmarkEnd w:id="8"/>
      <w:bookmarkEnd w:id="9"/>
      <w:bookmarkEnd w:id="10"/>
    </w:p>
    <w:p w14:paraId="5F54DECF">
      <w:pPr>
        <w:pStyle w:val="3"/>
        <w:keepNext/>
        <w:keepLines/>
        <w:pageBreakBefore w:val="0"/>
        <w:widowControl w:val="0"/>
        <w:kinsoku/>
        <w:wordWrap/>
        <w:overflowPunct/>
        <w:topLinePunct w:val="0"/>
        <w:autoSpaceDE/>
        <w:autoSpaceDN/>
        <w:bidi w:val="0"/>
        <w:adjustRightInd/>
        <w:snapToGrid/>
        <w:spacing w:before="0" w:after="0" w:line="413" w:lineRule="auto"/>
        <w:textAlignment w:val="auto"/>
      </w:pPr>
      <w:bookmarkStart w:id="11" w:name="_Toc3001"/>
      <w:bookmarkStart w:id="12" w:name="_Toc24850"/>
      <w:bookmarkStart w:id="13" w:name="_Toc22255"/>
      <w:bookmarkStart w:id="14" w:name="_Toc24027"/>
      <w:r>
        <w:rPr>
          <w:rFonts w:hint="eastAsia"/>
        </w:rPr>
        <w:t>（一）</w:t>
      </w:r>
      <w:bookmarkEnd w:id="11"/>
      <w:r>
        <w:rPr>
          <w:rFonts w:hint="eastAsia"/>
        </w:rPr>
        <w:t>项目概况</w:t>
      </w:r>
      <w:bookmarkEnd w:id="12"/>
      <w:bookmarkEnd w:id="13"/>
      <w:bookmarkEnd w:id="14"/>
    </w:p>
    <w:p w14:paraId="1B29D0C2">
      <w:pPr>
        <w:spacing w:line="600" w:lineRule="exact"/>
        <w:ind w:firstLine="643"/>
        <w:outlineLvl w:val="9"/>
        <w:rPr>
          <w:rFonts w:ascii="仿宋" w:hAnsi="仿宋" w:cs="仿宋"/>
          <w:b/>
          <w:bCs/>
          <w:sz w:val="32"/>
          <w:szCs w:val="32"/>
        </w:rPr>
      </w:pPr>
      <w:r>
        <w:rPr>
          <w:rFonts w:hint="eastAsia" w:ascii="仿宋" w:hAnsi="仿宋" w:cs="仿宋"/>
          <w:b/>
          <w:bCs/>
          <w:sz w:val="32"/>
          <w:szCs w:val="32"/>
        </w:rPr>
        <w:t>1.项目背景</w:t>
      </w:r>
    </w:p>
    <w:p w14:paraId="7FC71CB5">
      <w:pPr>
        <w:spacing w:line="600" w:lineRule="exact"/>
        <w:ind w:firstLine="640" w:firstLineChars="200"/>
      </w:pPr>
      <w:r>
        <w:rPr>
          <w:rFonts w:ascii="仿宋" w:hAnsi="仿宋" w:eastAsia="仿宋" w:cs="仿宋"/>
          <w:kern w:val="0"/>
          <w:sz w:val="32"/>
          <w:szCs w:val="32"/>
        </w:rPr>
        <w:t>根据《陕西省教育厅关于做好普通高中学业水平考试信息技术科目机考考点建设的通知》(陕教函[2022]1228号)和《宝鸡市教育局关于做好2023年普通高中学业水平考试理化生实验操作考试工作的通知》(宝市教发[20221243号)要求，扶风县从2022年秋季入学的高一级新生开始启动新一轮高考综合改革，面对新课程、新教材和新高考，扶风高中现有教育教学设施设备已难以达到新高考改革标准，无法完成新高考改革任务。扶风县教育体育局根据实际制定了教育教学设施设备改造提升方案，计划实施教育教学设施设备改造提升。</w:t>
      </w:r>
    </w:p>
    <w:p w14:paraId="23FF6C34">
      <w:pPr>
        <w:spacing w:line="600" w:lineRule="exact"/>
        <w:ind w:firstLine="643"/>
        <w:outlineLvl w:val="9"/>
        <w:rPr>
          <w:rFonts w:hint="eastAsia" w:ascii="仿宋" w:hAnsi="仿宋" w:cs="仿宋"/>
          <w:b/>
          <w:bCs/>
          <w:sz w:val="32"/>
          <w:szCs w:val="32"/>
        </w:rPr>
      </w:pPr>
      <w:bookmarkStart w:id="15" w:name="_Toc30940"/>
      <w:bookmarkStart w:id="16" w:name="_Toc2902"/>
      <w:bookmarkStart w:id="17" w:name="_Toc19838"/>
      <w:bookmarkStart w:id="18" w:name="_Toc6691"/>
      <w:bookmarkStart w:id="19" w:name="_Toc24420"/>
      <w:bookmarkStart w:id="20" w:name="_Toc5307_WPSOffice_Level2"/>
      <w:r>
        <w:rPr>
          <w:rFonts w:hint="eastAsia" w:ascii="仿宋" w:hAnsi="仿宋" w:cs="仿宋"/>
          <w:b/>
          <w:bCs/>
          <w:sz w:val="32"/>
          <w:szCs w:val="32"/>
        </w:rPr>
        <w:t>2.项目主要内容</w:t>
      </w:r>
    </w:p>
    <w:p w14:paraId="338CDC89">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项目计划扶风高中改造提升项目：</w:t>
      </w:r>
    </w:p>
    <w:p w14:paraId="7203FDDC">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（1）6个数字化理化生实验室建设，投资400万元；</w:t>
      </w:r>
    </w:p>
    <w:p w14:paraId="3A8EE9A0">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（2）计算机教室改建，投资50万元；</w:t>
      </w:r>
    </w:p>
    <w:p w14:paraId="2BC580C0">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（3）女生公寓楼、图书室、学生食堂屋面漏水处理6332平方米，投资58万元；</w:t>
      </w:r>
    </w:p>
    <w:p w14:paraId="5D291296">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（4）科技楼整体改建，投资280万元；</w:t>
      </w:r>
    </w:p>
    <w:p w14:paraId="73A0326E">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（5）教学楼整体改建，投资260万元；</w:t>
      </w:r>
    </w:p>
    <w:p w14:paraId="707430F5">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（6）综合教室空调购置53台，投资40万元；</w:t>
      </w:r>
    </w:p>
    <w:p w14:paraId="486C004C">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（7）教师办公电脑购置256台，投资128万元；</w:t>
      </w:r>
    </w:p>
    <w:p w14:paraId="5DC7855A">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（8）路面硬化翻新8100平方米，投资150万元；</w:t>
      </w:r>
    </w:p>
    <w:p w14:paraId="3EDF3659">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（9）师生公寓</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办公楼、图书室、综合楼内墙壁涂料96007平方米，投资134万元。</w:t>
      </w:r>
    </w:p>
    <w:p w14:paraId="21847D80">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共投资1500万。</w:t>
      </w:r>
    </w:p>
    <w:p w14:paraId="4F8EBCEA">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3.项目实施情况</w:t>
      </w:r>
    </w:p>
    <w:p w14:paraId="14C9BA10">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（1）男生公寓楼室内墙面粉刷项目</w:t>
      </w:r>
    </w:p>
    <w:p w14:paraId="1742B319">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扶风县扶风高中委托誉盈国际项目管理有限公司于2023年8月9日通过竞争性磋商确定陕西创远泰建设工程有限公司为扶风高中男生公寓楼室内墙面粉刷项目的施工单位，项目施工已经完成。</w:t>
      </w:r>
    </w:p>
    <w:p w14:paraId="5F34A1C7">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（2）数字化理化生探究实验室项目</w:t>
      </w:r>
    </w:p>
    <w:p w14:paraId="4DF1D54B">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扶风县扶风高中委托誉盈国际项目管理有限公司确定西安曲江上林商业运营管理有限责任公司为扶风高中数字化理化生探究实验室项目的施工单位，项目施工已经完成。</w:t>
      </w:r>
    </w:p>
    <w:p w14:paraId="300963EE">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（3）云教室项目</w:t>
      </w:r>
    </w:p>
    <w:p w14:paraId="5D7606D4">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扶风县扶风高中委托誉盈国际项目管理有限公司于2023年1月17日通过竞争性磋商确定西安正通电子科技有限公司为扶风高中云教室项目的施工单位，项目施工已经完成。</w:t>
      </w:r>
    </w:p>
    <w:p w14:paraId="7442273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（4）男生公寓楼外墙保温及真石漆项目</w:t>
      </w:r>
    </w:p>
    <w:p w14:paraId="3A0627BB">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扶风县扶风高中委托誉盈国际项目管理有限公司于2023年10月20日通过竞争性磋商方式确定陕西禹辉建设工程有限公司为扶风高中男生公寓楼外墙保温及真石漆项目的施工单位，项目施工已经完成。</w:t>
      </w:r>
    </w:p>
    <w:p w14:paraId="126256D9">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（5）男生公寓卫生间更换项目</w:t>
      </w:r>
    </w:p>
    <w:p w14:paraId="404F761B">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扶风县远鑫机械厂承接男生公寓卫生间更换项目与扶风县扶风高中签订合同，工程总造价16</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24</w:t>
      </w:r>
      <w:r>
        <w:rPr>
          <w:rFonts w:hint="eastAsia" w:ascii="仿宋" w:hAnsi="仿宋" w:eastAsia="仿宋" w:cs="仿宋"/>
          <w:kern w:val="0"/>
          <w:sz w:val="32"/>
          <w:szCs w:val="32"/>
          <w:lang w:val="en-US" w:eastAsia="zh-CN"/>
        </w:rPr>
        <w:t>万</w:t>
      </w:r>
      <w:r>
        <w:rPr>
          <w:rFonts w:hint="eastAsia" w:ascii="仿宋" w:hAnsi="仿宋" w:eastAsia="仿宋" w:cs="仿宋"/>
          <w:kern w:val="0"/>
          <w:sz w:val="32"/>
          <w:szCs w:val="32"/>
        </w:rPr>
        <w:t>元，项目施工已经完成。</w:t>
      </w:r>
    </w:p>
    <w:p w14:paraId="242BD23E">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（6）扶风高中逸夫教学楼前广场硬化工程</w:t>
      </w:r>
    </w:p>
    <w:p w14:paraId="7F19B41C">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2023年8月11日通过竞争性磋商确定宝鸡四通建设工程有限公司为逸夫教学楼前广场硬化工程施工单位，项目施工已经完成。</w:t>
      </w:r>
    </w:p>
    <w:p w14:paraId="332C4F30">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（7）扶风高中学生公寓楼空调采购项目</w:t>
      </w:r>
    </w:p>
    <w:p w14:paraId="4EC845E5">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2023年9月3日通过竞争性磋商确定扶风县汇恒商贸有限公司</w:t>
      </w:r>
      <w:r>
        <w:rPr>
          <w:rFonts w:hint="eastAsia" w:ascii="仿宋" w:hAnsi="仿宋" w:eastAsia="仿宋" w:cs="仿宋"/>
          <w:kern w:val="0"/>
          <w:sz w:val="32"/>
          <w:szCs w:val="32"/>
          <w:lang w:val="en-US" w:eastAsia="zh-CN"/>
        </w:rPr>
        <w:t>卫</w:t>
      </w:r>
      <w:r>
        <w:rPr>
          <w:rFonts w:hint="eastAsia" w:ascii="仿宋" w:hAnsi="仿宋" w:eastAsia="仿宋" w:cs="仿宋"/>
          <w:kern w:val="0"/>
          <w:sz w:val="32"/>
          <w:szCs w:val="32"/>
        </w:rPr>
        <w:t>生公寓楼空调采购项目供应商，采购已完成。</w:t>
      </w:r>
    </w:p>
    <w:p w14:paraId="6694BB8F">
      <w:pPr>
        <w:spacing w:line="600" w:lineRule="exact"/>
        <w:rPr>
          <w:rFonts w:ascii="仿宋" w:hAnsi="仿宋" w:eastAsia="仿宋" w:cs="仿宋"/>
          <w:kern w:val="0"/>
          <w:sz w:val="32"/>
          <w:szCs w:val="32"/>
        </w:rPr>
      </w:pPr>
    </w:p>
    <w:p w14:paraId="18E9858E">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4.项目资金投入情况</w:t>
      </w:r>
    </w:p>
    <w:p w14:paraId="3CD109A8">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扶风县财政局于2023年3月27日以《关于下达财政预算支出指标的通知》（扶财办预(2023)024号）向扶风县教育体育局下达教学设施、设备改造提升补助700万元。</w:t>
      </w:r>
    </w:p>
    <w:p w14:paraId="684FC7C8">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5.项目支出和资金使用情况</w:t>
      </w:r>
    </w:p>
    <w:p w14:paraId="71F7F643">
      <w:pPr>
        <w:spacing w:line="600" w:lineRule="exact"/>
        <w:ind w:firstLine="640" w:firstLineChars="200"/>
      </w:pPr>
      <w:r>
        <w:rPr>
          <w:rFonts w:hint="eastAsia" w:ascii="仿宋" w:hAnsi="仿宋" w:eastAsia="仿宋" w:cs="仿宋"/>
          <w:kern w:val="0"/>
          <w:sz w:val="32"/>
          <w:szCs w:val="32"/>
        </w:rPr>
        <w:t>项目预算资金为700万元，截至2023年12月29日，已支付696.49万元。</w:t>
      </w:r>
    </w:p>
    <w:p w14:paraId="04FB7A34">
      <w:pPr>
        <w:pStyle w:val="3"/>
        <w:keepNext/>
        <w:keepLines/>
        <w:pageBreakBefore w:val="0"/>
        <w:widowControl w:val="0"/>
        <w:kinsoku/>
        <w:wordWrap/>
        <w:overflowPunct/>
        <w:topLinePunct w:val="0"/>
        <w:autoSpaceDE/>
        <w:autoSpaceDN/>
        <w:bidi w:val="0"/>
        <w:adjustRightInd/>
        <w:snapToGrid/>
        <w:spacing w:before="0" w:after="0" w:line="600" w:lineRule="exact"/>
        <w:textAlignment w:val="auto"/>
      </w:pPr>
      <w:bookmarkStart w:id="21" w:name="_Toc8079"/>
      <w:r>
        <w:rPr>
          <w:rFonts w:hint="eastAsia"/>
        </w:rPr>
        <w:t>（二）项目绩效目标</w:t>
      </w:r>
      <w:bookmarkEnd w:id="15"/>
      <w:bookmarkEnd w:id="16"/>
      <w:bookmarkEnd w:id="17"/>
      <w:bookmarkEnd w:id="21"/>
    </w:p>
    <w:p w14:paraId="7474497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1.项目的年度总体目标</w:t>
      </w:r>
    </w:p>
    <w:p w14:paraId="13333FA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资金用于数字化理化生实验室建设、计算机教室改建、女生公寓楼、图书室、学生食堂屋面漏水处理、科技楼整体改建、教学楼整体改建、综合楼教室空调购置、教师办公电脑购置等，能有效缓解扶风县扶风高中硬件设施的不足和招生压力，改善学校办学条件，为提升学校办学质量，创建省级中等职业示范校，践行以人为本，办教为民的教育理念提供基础保障。</w:t>
      </w:r>
    </w:p>
    <w:p w14:paraId="45B5FCC2">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2.项目绩效目标分解</w:t>
      </w:r>
    </w:p>
    <w:p w14:paraId="6FFBB556">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（1）产出指标</w:t>
      </w:r>
    </w:p>
    <w:p w14:paraId="7A011BDC">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①数量指标。6个数字化理化生实验室建设、计算机教室改建、女生公寓楼、图书室、学生食堂屋面漏水处理、科技楼整体改建、教学楼整体改建、综合楼教室空调购置、教师办公电脑购置。</w:t>
      </w:r>
    </w:p>
    <w:p w14:paraId="4A13A8BC">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②质量指标。项目竣工验收质量合格。</w:t>
      </w:r>
    </w:p>
    <w:p w14:paraId="73EEB776">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③时效指标。2023年度。</w:t>
      </w:r>
    </w:p>
    <w:p w14:paraId="4265C921">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④成本指标。预算支出金额700万。</w:t>
      </w:r>
    </w:p>
    <w:p w14:paraId="689B752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（2）效益指标</w:t>
      </w:r>
    </w:p>
    <w:p w14:paraId="5FC88A75">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①社会效益。提高学校办学条件，改善校园环境。</w:t>
      </w:r>
    </w:p>
    <w:p w14:paraId="5A5F4BAC">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④满意度。师生满意度≥90%</w:t>
      </w:r>
      <w:bookmarkEnd w:id="18"/>
      <w:bookmarkEnd w:id="19"/>
      <w:bookmarkEnd w:id="20"/>
      <w:bookmarkStart w:id="22" w:name="_Toc22895"/>
      <w:bookmarkStart w:id="23" w:name="_Toc25596"/>
      <w:bookmarkStart w:id="24" w:name="_Toc16072"/>
      <w:bookmarkStart w:id="25" w:name="_Toc21915"/>
      <w:bookmarkStart w:id="26" w:name="_Toc8245_WPSOffice_Level1"/>
      <w:bookmarkStart w:id="27" w:name="_Toc29155_WPSOffice_Level1"/>
      <w:bookmarkStart w:id="28" w:name="_Toc29537"/>
      <w:bookmarkStart w:id="29" w:name="_Hlk2370114"/>
      <w:bookmarkStart w:id="30" w:name="_Toc28175_WPSOffice_Level1"/>
      <w:bookmarkStart w:id="31" w:name="_Toc3241_WPSOffice_Level1"/>
      <w:bookmarkStart w:id="32" w:name="_Toc6828_WPSOffice_Level1"/>
      <w:bookmarkStart w:id="33" w:name="_Toc28206"/>
      <w:bookmarkStart w:id="34" w:name="_Toc18785"/>
      <w:bookmarkStart w:id="35" w:name="_Toc751_WPSOffice_Level1"/>
      <w:bookmarkStart w:id="36" w:name="_Toc11420_WPSOffice_Level1"/>
      <w:bookmarkStart w:id="37" w:name="_Toc6281_WPSOffice_Level1"/>
      <w:bookmarkStart w:id="38" w:name="_Toc29074"/>
    </w:p>
    <w:p w14:paraId="5367D16B">
      <w:pPr>
        <w:pStyle w:val="2"/>
        <w:bidi w:val="0"/>
      </w:pPr>
      <w:bookmarkStart w:id="39" w:name="_Toc9947"/>
      <w:r>
        <w:rPr>
          <w:rFonts w:hint="eastAsia"/>
        </w:rPr>
        <w:t>二、绩效评价工作开展情况</w:t>
      </w:r>
      <w:bookmarkEnd w:id="22"/>
      <w:bookmarkEnd w:id="23"/>
      <w:bookmarkEnd w:id="39"/>
      <w:bookmarkStart w:id="40" w:name="_Toc30013"/>
      <w:bookmarkStart w:id="41" w:name="_Toc1319"/>
      <w:bookmarkStart w:id="42" w:name="_Toc4270"/>
      <w:bookmarkStart w:id="43" w:name="_Toc1360"/>
    </w:p>
    <w:p w14:paraId="4C6EA4C3">
      <w:pPr>
        <w:pStyle w:val="3"/>
        <w:keepNext/>
        <w:keepLines/>
        <w:pageBreakBefore w:val="0"/>
        <w:widowControl w:val="0"/>
        <w:kinsoku/>
        <w:wordWrap/>
        <w:overflowPunct/>
        <w:topLinePunct w:val="0"/>
        <w:autoSpaceDE/>
        <w:autoSpaceDN/>
        <w:bidi w:val="0"/>
        <w:adjustRightInd/>
        <w:snapToGrid/>
        <w:spacing w:before="0" w:after="0" w:line="600" w:lineRule="exact"/>
        <w:textAlignment w:val="auto"/>
      </w:pPr>
      <w:bookmarkStart w:id="44" w:name="_Toc20076"/>
      <w:r>
        <w:rPr>
          <w:rFonts w:hint="eastAsia"/>
        </w:rPr>
        <w:t>（一）绩效评价目的</w:t>
      </w:r>
      <w:bookmarkEnd w:id="40"/>
      <w:bookmarkEnd w:id="41"/>
      <w:bookmarkEnd w:id="42"/>
      <w:r>
        <w:rPr>
          <w:rFonts w:hint="eastAsia"/>
        </w:rPr>
        <w:t>与重点</w:t>
      </w:r>
      <w:bookmarkEnd w:id="43"/>
      <w:bookmarkEnd w:id="44"/>
    </w:p>
    <w:p w14:paraId="433DAC0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本次绩效评价的对象为教学设施、设备改造提升补助-扶风高中。绩效评价目的主要包括全面掌握项目资金管理使用情况，形成重点绩效评价报告，根据存在问题，有针对性地提出整改意见或建议，指导和督促单位加强资金管理，加快支出进度，完善资金管理机制，提高财政资金使用效益，切实做到“花钱要问效，无效要问责”。</w:t>
      </w:r>
    </w:p>
    <w:p w14:paraId="25691C90">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绩效评价重点主要包括项目总体绩效目标、各项绩效指标完成情况以及预算执行情况等。</w:t>
      </w:r>
    </w:p>
    <w:p w14:paraId="1EC5B360">
      <w:pPr>
        <w:pStyle w:val="3"/>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rPr>
      </w:pPr>
      <w:bookmarkStart w:id="45" w:name="_Toc17204"/>
      <w:bookmarkStart w:id="46" w:name="_Toc18097"/>
      <w:bookmarkStart w:id="47" w:name="_Toc14910"/>
      <w:bookmarkStart w:id="48" w:name="_Toc2196"/>
      <w:bookmarkStart w:id="49" w:name="_Toc30537"/>
      <w:r>
        <w:rPr>
          <w:rFonts w:hint="eastAsia"/>
        </w:rPr>
        <w:t>（二）绩效评价</w:t>
      </w:r>
      <w:bookmarkEnd w:id="45"/>
      <w:bookmarkEnd w:id="46"/>
      <w:bookmarkEnd w:id="47"/>
      <w:r>
        <w:rPr>
          <w:rFonts w:hint="eastAsia"/>
        </w:rPr>
        <w:t>指标与方法</w:t>
      </w:r>
      <w:bookmarkEnd w:id="48"/>
      <w:bookmarkEnd w:id="49"/>
    </w:p>
    <w:p w14:paraId="4192D01D">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1.绩效评价原则</w:t>
      </w:r>
    </w:p>
    <w:p w14:paraId="3E07F8A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（1）科学规范原则。严格执行规定的程序，按照科学可行的要求，采用定量</w:t>
      </w:r>
      <w:r>
        <w:rPr>
          <w:rFonts w:hint="eastAsia" w:ascii="仿宋" w:hAnsi="仿宋" w:eastAsia="仿宋" w:cs="仿宋"/>
          <w:kern w:val="0"/>
          <w:sz w:val="32"/>
          <w:szCs w:val="32"/>
          <w:lang w:val="en-US" w:eastAsia="zh-CN"/>
        </w:rPr>
        <w:t>分析</w:t>
      </w:r>
      <w:r>
        <w:rPr>
          <w:rFonts w:hint="eastAsia" w:ascii="仿宋" w:hAnsi="仿宋" w:eastAsia="仿宋" w:cs="仿宋"/>
          <w:kern w:val="0"/>
          <w:sz w:val="32"/>
          <w:szCs w:val="32"/>
        </w:rPr>
        <w:t xml:space="preserve">与定性分析相结合的方法开展绩效评价工作。 </w:t>
      </w:r>
    </w:p>
    <w:p w14:paraId="3FE9EB9C">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（2）绩效相关原则。针对具体支出及其产出绩效进行评价，评价结果清晰反映支出和产出绩效之间的紧密对应关系。 </w:t>
      </w:r>
    </w:p>
    <w:p w14:paraId="60A97E29">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（3）政策相符原则。制定评价工作方案、现场评价表格及项目评价实施工作均应严格执行有关政策和管理规定。 </w:t>
      </w:r>
    </w:p>
    <w:p w14:paraId="5ADA3F8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（4）经济合理原则。既要节约成本又要满足项目绩效评价工作的需要。 </w:t>
      </w:r>
    </w:p>
    <w:p w14:paraId="7FC52AE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5）依据充分原则。绩效评价所涉及的绩效报告，法律政策文件，项目计划及资金的确定与调整，项目验收与项目成果等都应依据充分。绩效评价工作组以正式程序得到的资料和信息为评价的依据，非正式程序所提交的资料仅供参考。 </w:t>
      </w:r>
    </w:p>
    <w:p w14:paraId="63F5D68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（6）独立评价原则。评价活动不受任何机构和个人的干预和影响，独立</w:t>
      </w:r>
      <w:r>
        <w:rPr>
          <w:rFonts w:hint="eastAsia" w:ascii="仿宋" w:hAnsi="仿宋" w:eastAsia="仿宋" w:cs="仿宋"/>
          <w:kern w:val="0"/>
          <w:sz w:val="32"/>
          <w:szCs w:val="32"/>
          <w:lang w:val="en-US" w:eastAsia="zh-CN"/>
        </w:rPr>
        <w:t>作</w:t>
      </w:r>
      <w:r>
        <w:rPr>
          <w:rFonts w:hint="eastAsia" w:ascii="仿宋" w:hAnsi="仿宋" w:eastAsia="仿宋" w:cs="仿宋"/>
          <w:kern w:val="0"/>
          <w:sz w:val="32"/>
          <w:szCs w:val="32"/>
        </w:rPr>
        <w:t xml:space="preserve">出评价结论。 </w:t>
      </w:r>
    </w:p>
    <w:p w14:paraId="1991A445">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（7）回避原则。评价工作人员和绩效评价工作组不得与项目相关单位有任何利害关系，确保评价结论的客观公正。 </w:t>
      </w:r>
    </w:p>
    <w:p w14:paraId="3F765D76">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（8）反馈原则。将评价的结果反馈给委托部门，作为有关部门以后年度安排项目预算、加强项目管理等工作的重要依据。 </w:t>
      </w:r>
    </w:p>
    <w:p w14:paraId="4B92C4CE">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（9）保密原则。绩效评价工作人员和绩效评价工作组，对与项目评价有关的所有信息资料负有保密义务，未经允许，不得散布。</w:t>
      </w:r>
    </w:p>
    <w:p w14:paraId="2966B131">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2.评价指标体系</w:t>
      </w:r>
    </w:p>
    <w:p w14:paraId="376B3A9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根据《预算绩效评价共性指标体系框架》（财预〔2013〕53号）、《项目支出绩效评价管理办法》（财预〔2020〕10号）</w:t>
      </w:r>
      <w:r>
        <w:rPr>
          <w:rFonts w:hint="eastAsia" w:ascii="仿宋" w:hAnsi="仿宋" w:eastAsia="仿宋" w:cs="仿宋"/>
          <w:kern w:val="0"/>
          <w:sz w:val="32"/>
          <w:szCs w:val="32"/>
          <w:lang w:eastAsia="zh-CN"/>
        </w:rPr>
        <w:t>、</w:t>
      </w:r>
      <w:r>
        <w:rPr>
          <w:rFonts w:hint="eastAsia" w:ascii="仿宋" w:hAnsi="仿宋" w:eastAsia="仿宋" w:cs="仿宋"/>
          <w:kern w:val="0"/>
          <w:sz w:val="32"/>
          <w:szCs w:val="32"/>
          <w:highlight w:val="none"/>
        </w:rPr>
        <w:t>扶风县人民政府办公室关于印发《扶风县预算绩效管理实施细则（试行）》的通知</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扶政办发〔2022〕15号</w:t>
      </w:r>
      <w:r>
        <w:rPr>
          <w:rFonts w:hint="eastAsia" w:ascii="仿宋" w:hAnsi="仿宋" w:eastAsia="仿宋" w:cs="仿宋"/>
          <w:kern w:val="0"/>
          <w:sz w:val="32"/>
          <w:szCs w:val="32"/>
          <w:highlight w:val="none"/>
          <w:lang w:eastAsia="zh-CN"/>
        </w:rPr>
        <w:t>）、扶风县财政局《关于开展2023年度预算绩效评价工作的通知》（扶财办绩〔2023〕6号）</w:t>
      </w:r>
      <w:r>
        <w:rPr>
          <w:rFonts w:hint="eastAsia" w:ascii="仿宋" w:hAnsi="仿宋" w:eastAsia="仿宋" w:cs="仿宋"/>
          <w:kern w:val="0"/>
          <w:sz w:val="32"/>
          <w:szCs w:val="32"/>
        </w:rPr>
        <w:t>等有关规定，结合项目实际情况，本次评价共设置决策指标、过程指标、产出指标、效益指标4个一级指标，对一级指标细分为11个二级指标，对二级指标细分为18个三级指标。</w:t>
      </w:r>
    </w:p>
    <w:p w14:paraId="426526C7">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指标权重是指具体指标所占的分值，反映具体指标在指标体系中的重要性。本次绩效评价，对决策指标赋予18.0分、过程指标赋予22.0分、产出指标赋予36.0分、效益指标赋予24.0分，同时根据二、三级指标的重要性进行权重的分解。具体指标详见附件1《绩效评价指标体系及评分表》。</w:t>
      </w:r>
    </w:p>
    <w:p w14:paraId="69352C5B">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3.评价方法</w:t>
      </w:r>
    </w:p>
    <w:p w14:paraId="35FCE4FA">
      <w:pPr>
        <w:spacing w:line="600" w:lineRule="exact"/>
        <w:ind w:firstLine="640" w:firstLineChars="200"/>
        <w:rPr>
          <w:rFonts w:ascii="仿宋" w:hAnsi="仿宋" w:eastAsia="仿宋" w:cs="仿宋"/>
          <w:kern w:val="0"/>
          <w:sz w:val="32"/>
          <w:szCs w:val="32"/>
        </w:rPr>
      </w:pPr>
      <w:bookmarkStart w:id="50" w:name="_Toc1910"/>
      <w:bookmarkStart w:id="51" w:name="_Toc29066"/>
      <w:bookmarkStart w:id="52" w:name="_Toc19283"/>
      <w:r>
        <w:rPr>
          <w:rFonts w:ascii="仿宋" w:hAnsi="仿宋" w:eastAsia="仿宋" w:cs="仿宋"/>
          <w:kern w:val="0"/>
          <w:sz w:val="32"/>
          <w:szCs w:val="32"/>
        </w:rPr>
        <w:t>本次评价由扶风县财政局组织实施，评价以访谈、材料核查、座谈、问卷调查、选点抽查为基础，坚持定量优先、简便有效的原则，综合运用比较法、因素分析法等方法，对教学设施、设备改造提升补助-扶风高中资金的使用、项目管理、综合效益等情况进行整体评价，评价结果采取评分与评级相结合的方式。评价方法主要包括成本效益分析法、比较法、因素分析法、最低成本法、公众评判法、标杆管理法等。根据评价对象的具体情况，可采用一种或多种方法。</w:t>
      </w:r>
    </w:p>
    <w:p w14:paraId="043BB358">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1</w:t>
      </w:r>
      <w:r>
        <w:rPr>
          <w:rFonts w:ascii="仿宋" w:hAnsi="仿宋" w:eastAsia="仿宋" w:cs="仿宋"/>
          <w:kern w:val="0"/>
          <w:sz w:val="32"/>
          <w:szCs w:val="32"/>
        </w:rPr>
        <w:t xml:space="preserve">）成本效益分析法。是指将投入与产出、效益进行关联性分析的方法。 </w:t>
      </w:r>
    </w:p>
    <w:p w14:paraId="14946E29">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2</w:t>
      </w:r>
      <w:r>
        <w:rPr>
          <w:rFonts w:ascii="仿宋" w:hAnsi="仿宋" w:eastAsia="仿宋" w:cs="仿宋"/>
          <w:kern w:val="0"/>
          <w:sz w:val="32"/>
          <w:szCs w:val="32"/>
        </w:rPr>
        <w:t>）比较法。是指将实施情况与绩效目标、历史情况、不同部门和地区同类支出情况进行比较的方法。</w:t>
      </w:r>
    </w:p>
    <w:p w14:paraId="4DAA9D66">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3</w:t>
      </w:r>
      <w:r>
        <w:rPr>
          <w:rFonts w:ascii="仿宋" w:hAnsi="仿宋" w:eastAsia="仿宋" w:cs="仿宋"/>
          <w:kern w:val="0"/>
          <w:sz w:val="32"/>
          <w:szCs w:val="32"/>
        </w:rPr>
        <w:t>）因素分析法。是指综合分析影响绩效目标实现、实施效果的内外部因素的方法。</w:t>
      </w:r>
    </w:p>
    <w:p w14:paraId="5F64E27F">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4</w:t>
      </w:r>
      <w:r>
        <w:rPr>
          <w:rFonts w:ascii="仿宋" w:hAnsi="仿宋" w:eastAsia="仿宋" w:cs="仿宋"/>
          <w:kern w:val="0"/>
          <w:sz w:val="32"/>
          <w:szCs w:val="32"/>
        </w:rPr>
        <w:t>）最低成本法。是指在绩效目标确定的前提下，成本最小者为优的方法。</w:t>
      </w:r>
    </w:p>
    <w:p w14:paraId="00727907">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5</w:t>
      </w:r>
      <w:r>
        <w:rPr>
          <w:rFonts w:ascii="仿宋" w:hAnsi="仿宋" w:eastAsia="仿宋" w:cs="仿宋"/>
          <w:kern w:val="0"/>
          <w:sz w:val="32"/>
          <w:szCs w:val="32"/>
        </w:rPr>
        <w:t>）公众评判法。是指通过专家评估、公众问卷及抽样调查等方式进行评判的方法。</w:t>
      </w:r>
    </w:p>
    <w:p w14:paraId="48DB9A06">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6</w:t>
      </w:r>
      <w:r>
        <w:rPr>
          <w:rFonts w:ascii="仿宋" w:hAnsi="仿宋" w:eastAsia="仿宋" w:cs="仿宋"/>
          <w:kern w:val="0"/>
          <w:sz w:val="32"/>
          <w:szCs w:val="32"/>
        </w:rPr>
        <w:t>）标杆管理法。是指以国内外同行业中较高的绩效水平为标杆进行评判的方法。</w:t>
      </w:r>
    </w:p>
    <w:p w14:paraId="0392CCE6">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7</w:t>
      </w:r>
      <w:r>
        <w:rPr>
          <w:rFonts w:ascii="仿宋" w:hAnsi="仿宋" w:eastAsia="仿宋" w:cs="仿宋"/>
          <w:kern w:val="0"/>
          <w:sz w:val="32"/>
          <w:szCs w:val="32"/>
        </w:rPr>
        <w:t>）其他评价方法。</w:t>
      </w:r>
    </w:p>
    <w:p w14:paraId="05516365">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4.</w:t>
      </w:r>
      <w:bookmarkEnd w:id="50"/>
      <w:bookmarkEnd w:id="51"/>
      <w:r>
        <w:rPr>
          <w:rFonts w:hint="eastAsia" w:ascii="仿宋" w:hAnsi="仿宋" w:cs="仿宋"/>
          <w:b/>
          <w:bCs/>
          <w:sz w:val="32"/>
          <w:szCs w:val="32"/>
        </w:rPr>
        <w:t>评价结果等级划分</w:t>
      </w:r>
    </w:p>
    <w:p w14:paraId="07CD387B">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根据财政部《项目支出绩效评价管理办法》（财预〔2020〕1</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号等，本次绩效评价结果采取评分和评级相结合的方式，评价结论分为四级：评价得分大于或等于90分为优，80分（含）-90分为良，60分（含）-80分为中，小于60分为差。</w:t>
      </w:r>
    </w:p>
    <w:bookmarkEnd w:id="24"/>
    <w:bookmarkEnd w:id="25"/>
    <w:bookmarkEnd w:id="26"/>
    <w:bookmarkEnd w:id="27"/>
    <w:bookmarkEnd w:id="28"/>
    <w:bookmarkEnd w:id="29"/>
    <w:bookmarkEnd w:id="30"/>
    <w:bookmarkEnd w:id="31"/>
    <w:bookmarkEnd w:id="52"/>
    <w:p w14:paraId="708007CF">
      <w:pPr>
        <w:pStyle w:val="3"/>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rPr>
      </w:pPr>
      <w:bookmarkStart w:id="53" w:name="_Toc22066"/>
      <w:bookmarkStart w:id="54" w:name="_Toc23298"/>
      <w:bookmarkStart w:id="55" w:name="_Toc17254"/>
      <w:bookmarkStart w:id="56" w:name="_Toc15419"/>
      <w:bookmarkStart w:id="57" w:name="_Toc19747"/>
      <w:r>
        <w:rPr>
          <w:rFonts w:hint="eastAsia"/>
        </w:rPr>
        <w:t>（三）绩效评价工作过程</w:t>
      </w:r>
      <w:bookmarkEnd w:id="53"/>
      <w:bookmarkEnd w:id="54"/>
      <w:bookmarkEnd w:id="55"/>
    </w:p>
    <w:p w14:paraId="6AB890D4">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1.前期准备阶段</w:t>
      </w:r>
    </w:p>
    <w:p w14:paraId="277D31E7">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（1）成立评价工作小组。由扶风县财政局相关业务股室组成评价工作小组。扶风县财政局统一组织，召开绩效评价工作集中进点布置会</w:t>
      </w:r>
      <w:r>
        <w:rPr>
          <w:rFonts w:hint="eastAsia" w:ascii="仿宋" w:hAnsi="仿宋" w:eastAsia="仿宋" w:cs="仿宋"/>
          <w:kern w:val="0"/>
          <w:sz w:val="32"/>
          <w:szCs w:val="32"/>
          <w:lang w:val="en-US" w:eastAsia="zh-CN"/>
        </w:rPr>
        <w:t>及</w:t>
      </w:r>
      <w:r>
        <w:rPr>
          <w:rFonts w:hint="eastAsia" w:ascii="仿宋" w:hAnsi="仿宋" w:eastAsia="仿宋" w:cs="仿宋"/>
          <w:kern w:val="0"/>
          <w:sz w:val="32"/>
          <w:szCs w:val="32"/>
        </w:rPr>
        <w:t>业务培训会，明确工作任务、绩效评价流程、时间安排，评价小组依据评价工作安排及时下发重点绩效评价通知。</w:t>
      </w:r>
    </w:p>
    <w:p w14:paraId="0E8B845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收集评价相关资料。评价组长负责督促被评价单位，及时提供绩效目标申报表；目标完成情况印证资料；项目绩效自评报告；立项、执行、政策调整过程、管理组织实施等基础资料。并做好有关部门的沟通协调，确保资料收集工作顺利进行。</w:t>
      </w:r>
    </w:p>
    <w:p w14:paraId="2E9713DC">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3）确定绩效评价方法。评价组长负责召集专家和小组成员，根据专项资金项目实施情况，结合评价对象属性和特点，确定绩效评价方法、评价指标体系和评价标准等内容，形成评价工作计划。有明确服务对象的项目，要研究制定项目满意度调查问卷，做好评价准备工作。</w:t>
      </w:r>
    </w:p>
    <w:p w14:paraId="75B7C560">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2.组织实施阶段</w:t>
      </w:r>
    </w:p>
    <w:p w14:paraId="2CF5478B">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掌握项目实施基本情况。评价小组深入被评价单位，听取项目单位关于专项资金管理使用、项目实施效果等情况汇报，实际核查项目立项、实施、竣工验收、财务决算、工程结算审核报告等资料，整理数据文本形成评价工作底稿。</w:t>
      </w:r>
    </w:p>
    <w:p w14:paraId="76CBA12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核实绩效目标完成情况。评价小组对项目单位提交的资料进行审核，并对收集的资料进行核实分析，要求被评价单位及时补充缺失的资料，核实查证全部资料后，开展现场勘查，座谈询问、发放调查问卷，查阅账本、凭证按程序进行项目重点评价。</w:t>
      </w:r>
    </w:p>
    <w:p w14:paraId="7309CFF3">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3.分析评价阶段</w:t>
      </w:r>
    </w:p>
    <w:p w14:paraId="6897EDB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对收集的数据和资料进行汇总分析，依据项目支出绩效评价指标进行评分。绩效评价依照法律法规、国家有关政策以及绩效评价指标体系评分标准，结合被评价单位的实际情况，根据绩效评价查证或者认定的事实，客观公正、实事求是地对绩效情况进行写实性描述。对项目实施过程中比较突出的、创新性、建设性的做法进行总结，对项目存在的问题原因进行分析，提出针对性的建议。</w:t>
      </w:r>
    </w:p>
    <w:p w14:paraId="1E4DFE77">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4.撰写报告阶段</w:t>
      </w:r>
    </w:p>
    <w:p w14:paraId="00B83B07">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（1）整理复核资料。根据资料的审核情况，结合现场勘查，评价小组按工作分工，整理评价所需的基本资料和数据。</w:t>
      </w:r>
    </w:p>
    <w:p w14:paraId="04C44B4D">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（2）形成初步结论。按照专项资金的评价方法、评价标准、评价指标，由聘请专家对评价对象的绩效情况进行全面的定量、定性分析和综合评价量化打分，对本组评价结果进行汇总，形成初步结论。</w:t>
      </w:r>
    </w:p>
    <w:p w14:paraId="3EDDD2B8">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（3）反馈征求意见。评价小组将评价的初步结论反馈到资金主管部门，征求对被评价单位</w:t>
      </w:r>
      <w:r>
        <w:rPr>
          <w:rFonts w:hint="eastAsia" w:ascii="仿宋" w:hAnsi="仿宋" w:eastAsia="仿宋" w:cs="仿宋"/>
          <w:kern w:val="0"/>
          <w:sz w:val="32"/>
          <w:szCs w:val="32"/>
          <w:highlight w:val="none"/>
          <w:lang w:val="en-US" w:eastAsia="zh-CN"/>
        </w:rPr>
        <w:t>的</w:t>
      </w:r>
      <w:r>
        <w:rPr>
          <w:rFonts w:hint="eastAsia" w:ascii="仿宋" w:hAnsi="仿宋" w:eastAsia="仿宋" w:cs="仿宋"/>
          <w:kern w:val="0"/>
          <w:sz w:val="32"/>
          <w:szCs w:val="32"/>
          <w:highlight w:val="none"/>
        </w:rPr>
        <w:t>意见。</w:t>
      </w:r>
    </w:p>
    <w:p w14:paraId="51255C92">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（4）完成正式报告。结合被评价单位的反馈意见撰写形成正式报告。</w:t>
      </w:r>
    </w:p>
    <w:p w14:paraId="26E0E7F2">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5.评价结果反馈阶段</w:t>
      </w:r>
    </w:p>
    <w:p w14:paraId="52A8AB82">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绩效评价结束后，由评价小组提出整改建议，</w:t>
      </w:r>
      <w:r>
        <w:rPr>
          <w:rFonts w:hint="eastAsia" w:ascii="仿宋" w:hAnsi="仿宋" w:eastAsia="仿宋" w:cs="仿宋"/>
          <w:kern w:val="0"/>
          <w:sz w:val="32"/>
          <w:szCs w:val="32"/>
          <w:lang w:val="en-US" w:eastAsia="zh-CN"/>
        </w:rPr>
        <w:t>经</w:t>
      </w:r>
      <w:r>
        <w:rPr>
          <w:rFonts w:hint="eastAsia" w:ascii="仿宋" w:hAnsi="仿宋" w:eastAsia="仿宋" w:cs="仿宋"/>
          <w:kern w:val="0"/>
          <w:sz w:val="32"/>
          <w:szCs w:val="32"/>
        </w:rPr>
        <w:t>业务股室审定后，将评价报告反馈给资金使用部门。绩效评价结果在一定范围内公开，并作为安排下一年度预算安排的依据。</w:t>
      </w:r>
    </w:p>
    <w:p w14:paraId="7154AE52">
      <w:pPr>
        <w:pStyle w:val="2"/>
        <w:bidi w:val="0"/>
      </w:pPr>
      <w:bookmarkStart w:id="58" w:name="_Toc17514"/>
      <w:r>
        <w:rPr>
          <w:rFonts w:hint="eastAsia"/>
        </w:rPr>
        <w:t>三、综合评价情况及评价结论</w:t>
      </w:r>
      <w:bookmarkEnd w:id="56"/>
      <w:bookmarkEnd w:id="58"/>
    </w:p>
    <w:p w14:paraId="1B395DFD">
      <w:pPr>
        <w:adjustRightInd w:val="0"/>
        <w:snapToGrid w:val="0"/>
        <w:spacing w:line="600" w:lineRule="exact"/>
        <w:ind w:firstLine="640" w:firstLineChars="200"/>
        <w:rPr>
          <w:rFonts w:ascii="仿宋" w:hAnsi="仿宋" w:eastAsia="仿宋" w:cs="仿宋"/>
          <w:kern w:val="0"/>
          <w:sz w:val="32"/>
          <w:szCs w:val="32"/>
          <w:highlight w:val="none"/>
        </w:rPr>
      </w:pPr>
      <w:bookmarkStart w:id="59" w:name="_Toc21717"/>
      <w:r>
        <w:rPr>
          <w:rFonts w:hint="eastAsia" w:ascii="仿宋" w:hAnsi="仿宋" w:eastAsia="仿宋" w:cs="仿宋"/>
          <w:kern w:val="0"/>
          <w:sz w:val="32"/>
          <w:szCs w:val="32"/>
        </w:rPr>
        <w:t>按照确定的评分细则，通过对各项指标逐一评价打分，教学设施、设备改造提升补助-扶风高中绩效评价得分为</w:t>
      </w:r>
      <w:r>
        <w:rPr>
          <w:rFonts w:hint="eastAsia" w:ascii="仿宋" w:hAnsi="仿宋" w:eastAsia="仿宋" w:cs="仿宋"/>
          <w:kern w:val="0"/>
          <w:sz w:val="32"/>
          <w:szCs w:val="32"/>
          <w:highlight w:val="none"/>
          <w:lang w:val="en-US" w:eastAsia="zh-CN"/>
        </w:rPr>
        <w:t>95.5</w:t>
      </w:r>
      <w:r>
        <w:rPr>
          <w:rFonts w:hint="eastAsia" w:ascii="仿宋" w:hAnsi="仿宋" w:eastAsia="仿宋" w:cs="仿宋"/>
          <w:kern w:val="0"/>
          <w:sz w:val="32"/>
          <w:szCs w:val="32"/>
          <w:highlight w:val="none"/>
        </w:rPr>
        <w:t>分，评价结果等级为“</w:t>
      </w:r>
      <w:r>
        <w:rPr>
          <w:rFonts w:hint="eastAsia" w:ascii="仿宋" w:hAnsi="仿宋" w:eastAsia="仿宋" w:cs="仿宋"/>
          <w:kern w:val="0"/>
          <w:sz w:val="32"/>
          <w:szCs w:val="32"/>
          <w:highlight w:val="none"/>
          <w:lang w:val="en-US" w:eastAsia="zh-CN"/>
        </w:rPr>
        <w:t>优</w:t>
      </w:r>
      <w:r>
        <w:rPr>
          <w:rFonts w:hint="eastAsia" w:ascii="仿宋" w:hAnsi="仿宋" w:eastAsia="仿宋" w:cs="仿宋"/>
          <w:kern w:val="0"/>
          <w:sz w:val="32"/>
          <w:szCs w:val="32"/>
          <w:highlight w:val="none"/>
        </w:rPr>
        <w:t>”，评分情况详见下表。</w:t>
      </w:r>
    </w:p>
    <w:p w14:paraId="3DCCE2F6">
      <w:pPr>
        <w:pStyle w:val="21"/>
        <w:ind w:left="0" w:leftChars="0" w:firstLine="0" w:firstLineChars="0"/>
        <w:jc w:val="center"/>
        <w:rPr>
          <w:rFonts w:ascii="仿宋" w:hAnsi="仿宋" w:eastAsia="仿宋" w:cs="仿宋"/>
          <w:b/>
          <w:bCs/>
          <w:kern w:val="0"/>
          <w:sz w:val="32"/>
          <w:szCs w:val="32"/>
          <w:highlight w:val="none"/>
        </w:rPr>
      </w:pPr>
      <w:r>
        <w:rPr>
          <w:rFonts w:ascii="仿宋" w:hAnsi="仿宋" w:eastAsia="仿宋" w:cs="仿宋"/>
          <w:b/>
          <w:bCs/>
          <w:kern w:val="0"/>
          <w:sz w:val="32"/>
          <w:szCs w:val="32"/>
          <w:highlight w:val="none"/>
        </w:rPr>
        <w:t>绩效指标评分表</w:t>
      </w:r>
    </w:p>
    <w:tbl>
      <w:tblPr>
        <w:tblStyle w:val="15"/>
        <w:tblW w:w="5000" w:type="pct"/>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2009"/>
        <w:gridCol w:w="2010"/>
        <w:gridCol w:w="2010"/>
        <w:gridCol w:w="2437"/>
      </w:tblGrid>
      <w:tr w14:paraId="6BEC6FE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80" w:hRule="exact"/>
        </w:trPr>
        <w:tc>
          <w:tcPr>
            <w:tcW w:w="5000" w:type="pct"/>
            <w:gridSpan w:val="4"/>
            <w:vAlign w:val="center"/>
          </w:tcPr>
          <w:p w14:paraId="5D9FE46E">
            <w:pPr>
              <w:pStyle w:val="21"/>
              <w:ind w:firstLine="0"/>
              <w:jc w:val="center"/>
              <w:rPr>
                <w:rFonts w:ascii="仿宋" w:hAnsi="仿宋" w:eastAsia="仿宋" w:cs="仿宋"/>
                <w:kern w:val="0"/>
                <w:sz w:val="32"/>
                <w:szCs w:val="32"/>
                <w:highlight w:val="none"/>
              </w:rPr>
            </w:pPr>
            <w:r>
              <w:rPr>
                <w:rFonts w:hint="eastAsia" w:ascii="仿宋" w:hAnsi="仿宋" w:eastAsia="仿宋" w:cs="仿宋"/>
                <w:kern w:val="0"/>
                <w:sz w:val="32"/>
                <w:szCs w:val="32"/>
                <w:highlight w:val="none"/>
              </w:rPr>
              <w:t>报告绩效指标评分表</w:t>
            </w:r>
          </w:p>
        </w:tc>
      </w:tr>
      <w:tr w14:paraId="7DB30D8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80" w:hRule="exact"/>
        </w:trPr>
        <w:tc>
          <w:tcPr>
            <w:tcW w:w="1187" w:type="pct"/>
            <w:vAlign w:val="center"/>
          </w:tcPr>
          <w:p w14:paraId="12A21B26">
            <w:pPr>
              <w:pStyle w:val="21"/>
              <w:ind w:firstLine="0"/>
              <w:jc w:val="center"/>
              <w:rPr>
                <w:rFonts w:ascii="仿宋" w:hAnsi="仿宋" w:eastAsia="仿宋" w:cs="仿宋"/>
                <w:kern w:val="0"/>
                <w:sz w:val="32"/>
                <w:szCs w:val="32"/>
                <w:highlight w:val="none"/>
              </w:rPr>
            </w:pPr>
            <w:r>
              <w:rPr>
                <w:rFonts w:hint="eastAsia" w:ascii="仿宋" w:hAnsi="仿宋" w:eastAsia="仿宋" w:cs="仿宋"/>
                <w:kern w:val="0"/>
                <w:sz w:val="32"/>
                <w:szCs w:val="32"/>
                <w:highlight w:val="none"/>
              </w:rPr>
              <w:t>一级指标</w:t>
            </w:r>
          </w:p>
        </w:tc>
        <w:tc>
          <w:tcPr>
            <w:tcW w:w="1187" w:type="pct"/>
            <w:vAlign w:val="center"/>
          </w:tcPr>
          <w:p w14:paraId="14E5D5F7">
            <w:pPr>
              <w:pStyle w:val="21"/>
              <w:ind w:firstLine="0"/>
              <w:jc w:val="center"/>
              <w:rPr>
                <w:rFonts w:ascii="仿宋" w:hAnsi="仿宋" w:eastAsia="仿宋" w:cs="仿宋"/>
                <w:kern w:val="0"/>
                <w:sz w:val="32"/>
                <w:szCs w:val="32"/>
                <w:highlight w:val="none"/>
              </w:rPr>
            </w:pPr>
            <w:r>
              <w:rPr>
                <w:rFonts w:hint="eastAsia" w:ascii="仿宋" w:hAnsi="仿宋" w:eastAsia="仿宋" w:cs="仿宋"/>
                <w:kern w:val="0"/>
                <w:sz w:val="32"/>
                <w:szCs w:val="32"/>
                <w:highlight w:val="none"/>
              </w:rPr>
              <w:t>分值</w:t>
            </w:r>
          </w:p>
        </w:tc>
        <w:tc>
          <w:tcPr>
            <w:tcW w:w="1187" w:type="pct"/>
            <w:vAlign w:val="center"/>
          </w:tcPr>
          <w:p w14:paraId="2DCC7813">
            <w:pPr>
              <w:pStyle w:val="21"/>
              <w:ind w:firstLine="0"/>
              <w:jc w:val="center"/>
              <w:rPr>
                <w:rFonts w:ascii="仿宋" w:hAnsi="仿宋" w:eastAsia="仿宋" w:cs="仿宋"/>
                <w:kern w:val="0"/>
                <w:sz w:val="32"/>
                <w:szCs w:val="32"/>
                <w:highlight w:val="none"/>
              </w:rPr>
            </w:pPr>
            <w:r>
              <w:rPr>
                <w:rFonts w:hint="eastAsia" w:ascii="仿宋" w:hAnsi="仿宋" w:eastAsia="仿宋" w:cs="仿宋"/>
                <w:kern w:val="0"/>
                <w:sz w:val="32"/>
                <w:szCs w:val="32"/>
                <w:highlight w:val="none"/>
              </w:rPr>
              <w:t>得分</w:t>
            </w:r>
          </w:p>
        </w:tc>
        <w:tc>
          <w:tcPr>
            <w:tcW w:w="1440" w:type="pct"/>
            <w:vAlign w:val="center"/>
          </w:tcPr>
          <w:p w14:paraId="476FC0A2">
            <w:pPr>
              <w:pStyle w:val="21"/>
              <w:ind w:firstLine="0"/>
              <w:jc w:val="center"/>
              <w:rPr>
                <w:rFonts w:ascii="仿宋" w:hAnsi="仿宋" w:eastAsia="仿宋" w:cs="仿宋"/>
                <w:kern w:val="0"/>
                <w:sz w:val="32"/>
                <w:szCs w:val="32"/>
                <w:highlight w:val="none"/>
              </w:rPr>
            </w:pPr>
            <w:r>
              <w:rPr>
                <w:rFonts w:hint="eastAsia" w:ascii="仿宋" w:hAnsi="仿宋" w:eastAsia="仿宋" w:cs="仿宋"/>
                <w:kern w:val="0"/>
                <w:sz w:val="32"/>
                <w:szCs w:val="32"/>
                <w:highlight w:val="none"/>
              </w:rPr>
              <w:t>得分率</w:t>
            </w:r>
          </w:p>
        </w:tc>
      </w:tr>
      <w:tr w14:paraId="74B2800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6B73A952">
            <w:pPr>
              <w:jc w:val="center"/>
              <w:rPr>
                <w:highlight w:val="none"/>
              </w:rPr>
            </w:pPr>
            <w:r>
              <w:rPr>
                <w:rFonts w:ascii="仿宋" w:hAnsi="仿宋" w:eastAsia="仿宋" w:cs="仿宋"/>
                <w:b w:val="0"/>
                <w:sz w:val="32"/>
                <w:highlight w:val="none"/>
              </w:rPr>
              <w:t>决策指标</w:t>
            </w:r>
          </w:p>
        </w:tc>
        <w:tc>
          <w:p w14:paraId="392B428A">
            <w:pPr>
              <w:jc w:val="center"/>
              <w:rPr>
                <w:highlight w:val="none"/>
              </w:rPr>
            </w:pPr>
            <w:r>
              <w:rPr>
                <w:rFonts w:ascii="仿宋" w:hAnsi="仿宋" w:eastAsia="仿宋" w:cs="仿宋"/>
                <w:b w:val="0"/>
                <w:sz w:val="32"/>
                <w:highlight w:val="none"/>
              </w:rPr>
              <w:t>18.0</w:t>
            </w:r>
          </w:p>
        </w:tc>
        <w:tc>
          <w:p w14:paraId="1D1676C5">
            <w:pPr>
              <w:jc w:val="center"/>
              <w:rPr>
                <w:highlight w:val="none"/>
              </w:rPr>
            </w:pPr>
            <w:r>
              <w:rPr>
                <w:rFonts w:hint="eastAsia" w:ascii="仿宋" w:hAnsi="仿宋" w:eastAsia="仿宋" w:cs="仿宋"/>
                <w:b w:val="0"/>
                <w:sz w:val="32"/>
                <w:highlight w:val="none"/>
                <w:lang w:val="en-US" w:eastAsia="zh-CN"/>
              </w:rPr>
              <w:t>17</w:t>
            </w:r>
            <w:r>
              <w:rPr>
                <w:rFonts w:ascii="仿宋" w:hAnsi="仿宋" w:eastAsia="仿宋" w:cs="仿宋"/>
                <w:b w:val="0"/>
                <w:sz w:val="32"/>
                <w:highlight w:val="none"/>
              </w:rPr>
              <w:t>.0</w:t>
            </w:r>
          </w:p>
        </w:tc>
        <w:tc>
          <w:p w14:paraId="3F7C856B">
            <w:pPr>
              <w:jc w:val="center"/>
              <w:rPr>
                <w:highlight w:val="none"/>
              </w:rPr>
            </w:pPr>
            <w:r>
              <w:rPr>
                <w:rFonts w:hint="eastAsia" w:ascii="仿宋" w:hAnsi="仿宋" w:eastAsia="仿宋" w:cs="仿宋"/>
                <w:b w:val="0"/>
                <w:sz w:val="32"/>
                <w:highlight w:val="none"/>
                <w:lang w:val="en-US" w:eastAsia="zh-CN"/>
              </w:rPr>
              <w:t>94.44</w:t>
            </w:r>
            <w:r>
              <w:rPr>
                <w:rFonts w:ascii="仿宋" w:hAnsi="仿宋" w:eastAsia="仿宋" w:cs="仿宋"/>
                <w:b w:val="0"/>
                <w:sz w:val="32"/>
                <w:highlight w:val="none"/>
              </w:rPr>
              <w:t>%</w:t>
            </w:r>
          </w:p>
        </w:tc>
      </w:tr>
      <w:tr w14:paraId="606D2F2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417604CD">
            <w:pPr>
              <w:jc w:val="center"/>
              <w:rPr>
                <w:highlight w:val="none"/>
              </w:rPr>
            </w:pPr>
            <w:r>
              <w:rPr>
                <w:rFonts w:ascii="仿宋" w:hAnsi="仿宋" w:eastAsia="仿宋" w:cs="仿宋"/>
                <w:b w:val="0"/>
                <w:sz w:val="32"/>
                <w:highlight w:val="none"/>
              </w:rPr>
              <w:t>过程指标</w:t>
            </w:r>
          </w:p>
        </w:tc>
        <w:tc>
          <w:p w14:paraId="79E32798">
            <w:pPr>
              <w:jc w:val="center"/>
              <w:rPr>
                <w:highlight w:val="none"/>
              </w:rPr>
            </w:pPr>
            <w:r>
              <w:rPr>
                <w:rFonts w:ascii="仿宋" w:hAnsi="仿宋" w:eastAsia="仿宋" w:cs="仿宋"/>
                <w:b w:val="0"/>
                <w:sz w:val="32"/>
                <w:highlight w:val="none"/>
              </w:rPr>
              <w:t>22.0</w:t>
            </w:r>
          </w:p>
        </w:tc>
        <w:tc>
          <w:p w14:paraId="7833CF1E">
            <w:pPr>
              <w:jc w:val="center"/>
              <w:rPr>
                <w:rFonts w:hint="default" w:eastAsia="宋体"/>
                <w:highlight w:val="none"/>
                <w:lang w:val="en-US" w:eastAsia="zh-CN"/>
              </w:rPr>
            </w:pPr>
            <w:r>
              <w:rPr>
                <w:rFonts w:hint="eastAsia" w:ascii="仿宋" w:hAnsi="仿宋" w:eastAsia="仿宋" w:cs="仿宋"/>
                <w:b w:val="0"/>
                <w:sz w:val="32"/>
                <w:highlight w:val="none"/>
                <w:lang w:val="en-US" w:eastAsia="zh-CN"/>
              </w:rPr>
              <w:t>18.5</w:t>
            </w:r>
          </w:p>
        </w:tc>
        <w:tc>
          <w:p w14:paraId="4B3DBC88">
            <w:pPr>
              <w:jc w:val="center"/>
              <w:rPr>
                <w:highlight w:val="none"/>
              </w:rPr>
            </w:pPr>
            <w:r>
              <w:rPr>
                <w:rFonts w:hint="eastAsia" w:ascii="仿宋" w:hAnsi="仿宋" w:eastAsia="仿宋" w:cs="仿宋"/>
                <w:b w:val="0"/>
                <w:sz w:val="32"/>
                <w:highlight w:val="none"/>
                <w:lang w:val="en-US" w:eastAsia="zh-CN"/>
              </w:rPr>
              <w:t>84.09</w:t>
            </w:r>
            <w:r>
              <w:rPr>
                <w:rFonts w:ascii="仿宋" w:hAnsi="仿宋" w:eastAsia="仿宋" w:cs="仿宋"/>
                <w:b w:val="0"/>
                <w:sz w:val="32"/>
                <w:highlight w:val="none"/>
              </w:rPr>
              <w:t>%</w:t>
            </w:r>
          </w:p>
        </w:tc>
      </w:tr>
      <w:tr w14:paraId="0B8361A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2160EABA">
            <w:pPr>
              <w:jc w:val="center"/>
              <w:rPr>
                <w:highlight w:val="none"/>
              </w:rPr>
            </w:pPr>
            <w:r>
              <w:rPr>
                <w:rFonts w:ascii="仿宋" w:hAnsi="仿宋" w:eastAsia="仿宋" w:cs="仿宋"/>
                <w:b w:val="0"/>
                <w:sz w:val="32"/>
                <w:highlight w:val="none"/>
              </w:rPr>
              <w:t>产出指标</w:t>
            </w:r>
          </w:p>
        </w:tc>
        <w:tc>
          <w:p w14:paraId="55AB60E8">
            <w:pPr>
              <w:jc w:val="center"/>
              <w:rPr>
                <w:highlight w:val="none"/>
              </w:rPr>
            </w:pPr>
            <w:r>
              <w:rPr>
                <w:rFonts w:ascii="仿宋" w:hAnsi="仿宋" w:eastAsia="仿宋" w:cs="仿宋"/>
                <w:b w:val="0"/>
                <w:sz w:val="32"/>
                <w:highlight w:val="none"/>
              </w:rPr>
              <w:t>36.0</w:t>
            </w:r>
          </w:p>
        </w:tc>
        <w:tc>
          <w:p w14:paraId="64F04324">
            <w:pPr>
              <w:jc w:val="center"/>
              <w:rPr>
                <w:highlight w:val="none"/>
              </w:rPr>
            </w:pPr>
            <w:r>
              <w:rPr>
                <w:rFonts w:ascii="仿宋" w:hAnsi="仿宋" w:eastAsia="仿宋" w:cs="仿宋"/>
                <w:b w:val="0"/>
                <w:sz w:val="32"/>
                <w:highlight w:val="none"/>
              </w:rPr>
              <w:t>36.0</w:t>
            </w:r>
          </w:p>
        </w:tc>
        <w:tc>
          <w:p w14:paraId="75751385">
            <w:pPr>
              <w:jc w:val="center"/>
              <w:rPr>
                <w:highlight w:val="none"/>
              </w:rPr>
            </w:pPr>
            <w:r>
              <w:rPr>
                <w:rFonts w:ascii="仿宋" w:hAnsi="仿宋" w:eastAsia="仿宋" w:cs="仿宋"/>
                <w:b w:val="0"/>
                <w:sz w:val="32"/>
                <w:highlight w:val="none"/>
              </w:rPr>
              <w:t>100.00%</w:t>
            </w:r>
          </w:p>
        </w:tc>
      </w:tr>
      <w:tr w14:paraId="789168F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1CD74E4A">
            <w:pPr>
              <w:jc w:val="center"/>
              <w:rPr>
                <w:highlight w:val="none"/>
              </w:rPr>
            </w:pPr>
            <w:r>
              <w:rPr>
                <w:rFonts w:ascii="仿宋" w:hAnsi="仿宋" w:eastAsia="仿宋" w:cs="仿宋"/>
                <w:b w:val="0"/>
                <w:sz w:val="32"/>
                <w:highlight w:val="none"/>
              </w:rPr>
              <w:t>效益指标</w:t>
            </w:r>
          </w:p>
        </w:tc>
        <w:tc>
          <w:p w14:paraId="4BDDAE0C">
            <w:pPr>
              <w:jc w:val="center"/>
              <w:rPr>
                <w:highlight w:val="none"/>
              </w:rPr>
            </w:pPr>
            <w:r>
              <w:rPr>
                <w:rFonts w:ascii="仿宋" w:hAnsi="仿宋" w:eastAsia="仿宋" w:cs="仿宋"/>
                <w:b w:val="0"/>
                <w:sz w:val="32"/>
                <w:highlight w:val="none"/>
              </w:rPr>
              <w:t>24.0</w:t>
            </w:r>
          </w:p>
        </w:tc>
        <w:tc>
          <w:p w14:paraId="4B406C1C">
            <w:pPr>
              <w:jc w:val="center"/>
              <w:rPr>
                <w:highlight w:val="none"/>
              </w:rPr>
            </w:pPr>
            <w:r>
              <w:rPr>
                <w:rFonts w:ascii="仿宋" w:hAnsi="仿宋" w:eastAsia="仿宋" w:cs="仿宋"/>
                <w:b w:val="0"/>
                <w:sz w:val="32"/>
                <w:highlight w:val="none"/>
              </w:rPr>
              <w:t>24.0</w:t>
            </w:r>
          </w:p>
        </w:tc>
        <w:tc>
          <w:p w14:paraId="11964464">
            <w:pPr>
              <w:jc w:val="center"/>
              <w:rPr>
                <w:highlight w:val="none"/>
              </w:rPr>
            </w:pPr>
            <w:r>
              <w:rPr>
                <w:rFonts w:ascii="仿宋" w:hAnsi="仿宋" w:eastAsia="仿宋" w:cs="仿宋"/>
                <w:b w:val="0"/>
                <w:sz w:val="32"/>
                <w:highlight w:val="none"/>
              </w:rPr>
              <w:t>100.00%</w:t>
            </w:r>
          </w:p>
        </w:tc>
      </w:tr>
    </w:tbl>
    <w:p w14:paraId="2A37A07A">
      <w:pPr>
        <w:pStyle w:val="2"/>
        <w:bidi w:val="0"/>
      </w:pPr>
      <w:bookmarkStart w:id="60" w:name="_Toc21146"/>
      <w:r>
        <w:rPr>
          <w:rFonts w:hint="eastAsia"/>
        </w:rPr>
        <w:t>四、</w:t>
      </w:r>
      <w:bookmarkEnd w:id="32"/>
      <w:bookmarkEnd w:id="33"/>
      <w:bookmarkEnd w:id="34"/>
      <w:r>
        <w:rPr>
          <w:rFonts w:hint="eastAsia"/>
        </w:rPr>
        <w:t>绩效评价指标分析</w:t>
      </w:r>
      <w:bookmarkEnd w:id="35"/>
      <w:bookmarkEnd w:id="36"/>
      <w:bookmarkEnd w:id="37"/>
      <w:bookmarkEnd w:id="38"/>
      <w:bookmarkEnd w:id="57"/>
      <w:bookmarkEnd w:id="59"/>
      <w:bookmarkEnd w:id="60"/>
      <w:bookmarkStart w:id="61" w:name="_Hlk2366513"/>
      <w:bookmarkStart w:id="62" w:name="_Toc4780_WPSOffice_Level2"/>
      <w:bookmarkStart w:id="63" w:name="_Toc28988"/>
      <w:bookmarkStart w:id="64" w:name="_Toc18549_WPSOffice_Level2"/>
      <w:bookmarkStart w:id="65" w:name="_Toc17947"/>
      <w:bookmarkStart w:id="66" w:name="_Toc24823_WPSOffice_Level2"/>
      <w:bookmarkStart w:id="67" w:name="_Toc26570_WPSOffice_Level2"/>
      <w:bookmarkStart w:id="68" w:name="_Toc379"/>
    </w:p>
    <w:p w14:paraId="2F6F0354">
      <w:pPr>
        <w:pStyle w:val="3"/>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rPr>
      </w:pPr>
      <w:bookmarkStart w:id="69" w:name="_Toc28786"/>
      <w:r>
        <w:rPr>
          <w:rFonts w:hint="eastAsia"/>
        </w:rPr>
        <w:t>（一）决策指标（满分18.0分，实得</w:t>
      </w:r>
      <w:r>
        <w:rPr>
          <w:rFonts w:hint="eastAsia"/>
          <w:lang w:val="en-US" w:eastAsia="zh-CN"/>
        </w:rPr>
        <w:t>17</w:t>
      </w:r>
      <w:r>
        <w:rPr>
          <w:rFonts w:hint="eastAsia"/>
        </w:rPr>
        <w:t>.0分）</w:t>
      </w:r>
      <w:bookmarkEnd w:id="69"/>
    </w:p>
    <w:p w14:paraId="52DD447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1、项目立项（满分6.0分，实得6.0分）</w:t>
      </w:r>
    </w:p>
    <w:p w14:paraId="513E146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（1）立项依据充分性（满分3.0分，实得3.0分）</w:t>
      </w:r>
    </w:p>
    <w:p w14:paraId="434DF9A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陕西省教育厅关于做好普通高中学业水平考试信息技术科目机考考点建设的通知》(陕教函[2022]1228号)和《宝鸡市教育局关于做好2023年普通高中学业水平考试理化生实验操作考试工作的通知》(宝市教发[20221243号)要求，扶风县教育体育局根据实际制定了教育教学设施设备改造提升方案，对现有教育教学设施设备进行改造提升。项目由扶风县教育体育局组织，扶风县扶风高中实施。经分析，项目立项符合</w:t>
      </w:r>
      <w:r>
        <w:rPr>
          <w:rFonts w:hint="eastAsia" w:ascii="仿宋" w:hAnsi="仿宋" w:eastAsia="仿宋" w:cs="仿宋"/>
          <w:kern w:val="0"/>
          <w:sz w:val="32"/>
          <w:szCs w:val="32"/>
          <w:lang w:val="en-US" w:eastAsia="zh-CN"/>
        </w:rPr>
        <w:t>国家政策要求</w:t>
      </w:r>
      <w:r>
        <w:rPr>
          <w:rFonts w:hint="eastAsia" w:ascii="仿宋" w:hAnsi="仿宋" w:eastAsia="仿宋" w:cs="仿宋"/>
          <w:kern w:val="0"/>
          <w:sz w:val="32"/>
          <w:szCs w:val="32"/>
          <w:lang w:eastAsia="zh-CN"/>
        </w:rPr>
        <w:t>，</w:t>
      </w:r>
      <w:r>
        <w:rPr>
          <w:rFonts w:ascii="仿宋" w:hAnsi="仿宋" w:eastAsia="仿宋" w:cs="仿宋"/>
          <w:kern w:val="0"/>
          <w:sz w:val="32"/>
          <w:szCs w:val="32"/>
        </w:rPr>
        <w:t>与部门职责范围相符</w:t>
      </w:r>
      <w:r>
        <w:rPr>
          <w:rFonts w:hint="eastAsia" w:ascii="仿宋" w:hAnsi="仿宋" w:eastAsia="仿宋" w:cs="仿宋"/>
          <w:kern w:val="0"/>
          <w:sz w:val="32"/>
          <w:szCs w:val="32"/>
          <w:lang w:eastAsia="zh-CN"/>
        </w:rPr>
        <w:t>，</w:t>
      </w:r>
      <w:r>
        <w:rPr>
          <w:rFonts w:ascii="仿宋" w:hAnsi="仿宋" w:eastAsia="仿宋" w:cs="仿宋"/>
          <w:kern w:val="0"/>
          <w:sz w:val="32"/>
          <w:szCs w:val="32"/>
        </w:rPr>
        <w:t>符合教育教学设施设备改造提升属于公共财政支持范围</w:t>
      </w:r>
      <w:r>
        <w:rPr>
          <w:rFonts w:hint="eastAsia" w:ascii="仿宋" w:hAnsi="仿宋" w:eastAsia="仿宋" w:cs="仿宋"/>
          <w:kern w:val="0"/>
          <w:sz w:val="32"/>
          <w:szCs w:val="32"/>
          <w:lang w:eastAsia="zh-CN"/>
        </w:rPr>
        <w:t>，</w:t>
      </w:r>
      <w:r>
        <w:rPr>
          <w:rFonts w:ascii="仿宋" w:hAnsi="仿宋" w:eastAsia="仿宋" w:cs="仿宋"/>
          <w:kern w:val="0"/>
          <w:sz w:val="32"/>
          <w:szCs w:val="32"/>
        </w:rPr>
        <w:t>与相关部门同类项目不重复。</w:t>
      </w:r>
    </w:p>
    <w:p w14:paraId="645588C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1BE0533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（2）立项程序规范性（满分3.0分，实得3.0分）</w:t>
      </w:r>
    </w:p>
    <w:p w14:paraId="27CA7CB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扶风县教育体育局于2023年2月22日，向扶风县人民政府以《关于 2023 年度扶风高中、法门高中教育教学设施设备改造提升项目立项的汇报》，申请改造提升项目，经</w:t>
      </w:r>
      <w:r>
        <w:rPr>
          <w:rFonts w:hint="eastAsia" w:ascii="仿宋" w:hAnsi="仿宋" w:eastAsia="仿宋" w:cs="仿宋"/>
          <w:kern w:val="0"/>
          <w:sz w:val="32"/>
          <w:szCs w:val="32"/>
          <w:lang w:val="en-US" w:eastAsia="zh-CN"/>
        </w:rPr>
        <w:t>县</w:t>
      </w:r>
      <w:r>
        <w:rPr>
          <w:rFonts w:ascii="仿宋" w:hAnsi="仿宋" w:eastAsia="仿宋" w:cs="仿宋"/>
          <w:kern w:val="0"/>
          <w:sz w:val="32"/>
          <w:szCs w:val="32"/>
        </w:rPr>
        <w:t>财政局审核，县政府批准，扶风县财政局于2023年3月27日以“扶财办预〔2023〕024号”文件下达项目预算700万元。经分析，项目按照规定的程序申请设立</w:t>
      </w:r>
      <w:r>
        <w:rPr>
          <w:rFonts w:hint="eastAsia" w:ascii="仿宋" w:hAnsi="仿宋" w:eastAsia="仿宋" w:cs="仿宋"/>
          <w:kern w:val="0"/>
          <w:sz w:val="32"/>
          <w:szCs w:val="32"/>
          <w:lang w:eastAsia="zh-CN"/>
        </w:rPr>
        <w:t>，</w:t>
      </w:r>
      <w:r>
        <w:rPr>
          <w:rFonts w:ascii="仿宋" w:hAnsi="仿宋" w:eastAsia="仿宋" w:cs="仿宋"/>
          <w:kern w:val="0"/>
          <w:sz w:val="32"/>
          <w:szCs w:val="32"/>
        </w:rPr>
        <w:t>事前已经过必要的可行性研究、集体决策</w:t>
      </w:r>
      <w:r>
        <w:rPr>
          <w:rFonts w:hint="eastAsia" w:ascii="仿宋" w:hAnsi="仿宋" w:eastAsia="仿宋" w:cs="仿宋"/>
          <w:kern w:val="0"/>
          <w:sz w:val="32"/>
          <w:szCs w:val="32"/>
          <w:lang w:eastAsia="zh-CN"/>
        </w:rPr>
        <w:t>，</w:t>
      </w:r>
      <w:r>
        <w:rPr>
          <w:rFonts w:ascii="仿宋" w:hAnsi="仿宋" w:eastAsia="仿宋" w:cs="仿宋"/>
          <w:kern w:val="0"/>
          <w:sz w:val="32"/>
          <w:szCs w:val="32"/>
        </w:rPr>
        <w:t>审批文件、材料符合相关要求。</w:t>
      </w:r>
    </w:p>
    <w:p w14:paraId="27D98D2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01663BD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2、绩效目标（满分7.0分，实得</w:t>
      </w:r>
      <w:r>
        <w:rPr>
          <w:rFonts w:hint="eastAsia" w:ascii="仿宋" w:hAnsi="仿宋" w:eastAsia="仿宋" w:cs="仿宋"/>
          <w:kern w:val="0"/>
          <w:sz w:val="32"/>
          <w:szCs w:val="32"/>
          <w:lang w:val="en-US" w:eastAsia="zh-CN"/>
        </w:rPr>
        <w:t>6</w:t>
      </w:r>
      <w:r>
        <w:rPr>
          <w:rFonts w:ascii="仿宋" w:hAnsi="仿宋" w:eastAsia="仿宋" w:cs="仿宋"/>
          <w:kern w:val="0"/>
          <w:sz w:val="32"/>
          <w:szCs w:val="32"/>
        </w:rPr>
        <w:t>.0分）</w:t>
      </w:r>
    </w:p>
    <w:p w14:paraId="2CCA577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（1）绩效目标合理性（满分4.0分，实得</w:t>
      </w:r>
      <w:r>
        <w:rPr>
          <w:rFonts w:hint="eastAsia" w:ascii="仿宋" w:hAnsi="仿宋" w:eastAsia="仿宋" w:cs="仿宋"/>
          <w:kern w:val="0"/>
          <w:sz w:val="32"/>
          <w:szCs w:val="32"/>
          <w:lang w:val="en-US" w:eastAsia="zh-CN"/>
        </w:rPr>
        <w:t>4</w:t>
      </w:r>
      <w:r>
        <w:rPr>
          <w:rFonts w:ascii="仿宋" w:hAnsi="仿宋" w:eastAsia="仿宋" w:cs="仿宋"/>
          <w:kern w:val="0"/>
          <w:sz w:val="32"/>
          <w:szCs w:val="32"/>
        </w:rPr>
        <w:t>.0分）</w:t>
      </w:r>
    </w:p>
    <w:p w14:paraId="51C1B10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扶风高中改造提升项目建设内容有:6个数字化理化生实验室建设、计算机教室改建、女生公寓楼、图书室、学生食堂屋面漏水处理6332平方米、科技楼整体改建、教学楼整体改建、综合教室空调购置53台、教师办公电脑购置256台、路面硬化翻新8100平方米、师生公寓办公楼、图书室、综合楼内墙壁涂料96007平方米，共投资1500万。质量合格，按期完工投用。</w:t>
      </w:r>
      <w:r>
        <w:rPr>
          <w:rFonts w:ascii="仿宋" w:hAnsi="仿宋" w:eastAsia="仿宋" w:cs="仿宋"/>
          <w:kern w:val="0"/>
          <w:sz w:val="32"/>
          <w:szCs w:val="32"/>
          <w:highlight w:val="none"/>
        </w:rPr>
        <w:t>经分析，项目有绩效目标，项目绩效目标与实际工作内容相关，预期产出效益和效果符合正常的业绩水平，与预算确定的项目投资额相匹配。</w:t>
      </w:r>
    </w:p>
    <w:p w14:paraId="5C45620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w:t>
      </w:r>
      <w:r>
        <w:rPr>
          <w:rFonts w:hint="eastAsia" w:ascii="仿宋" w:hAnsi="仿宋" w:eastAsia="仿宋" w:cs="仿宋"/>
          <w:kern w:val="0"/>
          <w:sz w:val="32"/>
          <w:szCs w:val="32"/>
          <w:lang w:val="en-US" w:eastAsia="zh-CN"/>
        </w:rPr>
        <w:t>0</w:t>
      </w:r>
      <w:r>
        <w:rPr>
          <w:rFonts w:ascii="仿宋" w:hAnsi="仿宋" w:eastAsia="仿宋" w:cs="仿宋"/>
          <w:kern w:val="0"/>
          <w:sz w:val="32"/>
          <w:szCs w:val="32"/>
        </w:rPr>
        <w:t>.0分，评价得</w:t>
      </w:r>
      <w:r>
        <w:rPr>
          <w:rFonts w:hint="eastAsia" w:ascii="仿宋" w:hAnsi="仿宋" w:eastAsia="仿宋" w:cs="仿宋"/>
          <w:kern w:val="0"/>
          <w:sz w:val="32"/>
          <w:szCs w:val="32"/>
          <w:lang w:val="en-US" w:eastAsia="zh-CN"/>
        </w:rPr>
        <w:t>4</w:t>
      </w:r>
      <w:r>
        <w:rPr>
          <w:rFonts w:ascii="仿宋" w:hAnsi="仿宋" w:eastAsia="仿宋" w:cs="仿宋"/>
          <w:kern w:val="0"/>
          <w:sz w:val="32"/>
          <w:szCs w:val="32"/>
        </w:rPr>
        <w:t>.0分。</w:t>
      </w:r>
    </w:p>
    <w:p w14:paraId="2395CF1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（2）绩效指标明确性（满分3.0分，实得</w:t>
      </w:r>
      <w:r>
        <w:rPr>
          <w:rFonts w:hint="eastAsia" w:ascii="仿宋" w:hAnsi="仿宋" w:eastAsia="仿宋" w:cs="仿宋"/>
          <w:kern w:val="0"/>
          <w:sz w:val="32"/>
          <w:szCs w:val="32"/>
          <w:lang w:val="en-US" w:eastAsia="zh-CN"/>
        </w:rPr>
        <w:t>2</w:t>
      </w:r>
      <w:r>
        <w:rPr>
          <w:rFonts w:ascii="仿宋" w:hAnsi="仿宋" w:eastAsia="仿宋" w:cs="仿宋"/>
          <w:kern w:val="0"/>
          <w:sz w:val="32"/>
          <w:szCs w:val="32"/>
        </w:rPr>
        <w:t>.0分）</w:t>
      </w:r>
    </w:p>
    <w:p w14:paraId="3C2D2E7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kern w:val="0"/>
          <w:sz w:val="32"/>
          <w:szCs w:val="32"/>
          <w:lang w:val="en-US"/>
        </w:rPr>
      </w:pPr>
      <w:r>
        <w:rPr>
          <w:rFonts w:ascii="仿宋" w:hAnsi="仿宋" w:eastAsia="仿宋" w:cs="仿宋"/>
          <w:kern w:val="0"/>
          <w:sz w:val="32"/>
          <w:szCs w:val="32"/>
        </w:rPr>
        <w:t>项目</w:t>
      </w:r>
      <w:r>
        <w:rPr>
          <w:rFonts w:hint="eastAsia" w:ascii="仿宋" w:hAnsi="仿宋" w:eastAsia="仿宋" w:cs="仿宋"/>
          <w:kern w:val="0"/>
          <w:sz w:val="32"/>
          <w:szCs w:val="32"/>
          <w:lang w:val="en-US" w:eastAsia="zh-CN"/>
        </w:rPr>
        <w:t>设置建设实验室和改建计算机教室9个，购置办公室电脑、空调309台，路面硬化、屋面防水和整体改造39900平方米；项目质量要求合格；2023年底按期完工投用；完成项目资金投资额度以700万元为产出指标。设置财政资金效益发挥改善条件受益师生；师生学习生活环境干净整洁、优美安全，人民群众满意率≥95%；项目使用材料满足环保要求；改造提升效果影响时限≥10年为效果指标。设置学生满意度≥95%为满意度指标。</w:t>
      </w:r>
    </w:p>
    <w:p w14:paraId="232A740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w:t>
      </w:r>
      <w:r>
        <w:rPr>
          <w:rFonts w:hint="eastAsia" w:ascii="仿宋" w:hAnsi="仿宋" w:eastAsia="仿宋" w:cs="仿宋"/>
          <w:kern w:val="0"/>
          <w:sz w:val="32"/>
          <w:szCs w:val="32"/>
          <w:lang w:val="en-US" w:eastAsia="zh-CN"/>
        </w:rPr>
        <w:t>1</w:t>
      </w:r>
      <w:r>
        <w:rPr>
          <w:rFonts w:ascii="仿宋" w:hAnsi="仿宋" w:eastAsia="仿宋" w:cs="仿宋"/>
          <w:kern w:val="0"/>
          <w:sz w:val="32"/>
          <w:szCs w:val="32"/>
        </w:rPr>
        <w:t>.0分，评价得</w:t>
      </w:r>
      <w:r>
        <w:rPr>
          <w:rFonts w:hint="eastAsia" w:ascii="仿宋" w:hAnsi="仿宋" w:eastAsia="仿宋" w:cs="仿宋"/>
          <w:kern w:val="0"/>
          <w:sz w:val="32"/>
          <w:szCs w:val="32"/>
          <w:lang w:val="en-US" w:eastAsia="zh-CN"/>
        </w:rPr>
        <w:t>2</w:t>
      </w:r>
      <w:r>
        <w:rPr>
          <w:rFonts w:ascii="仿宋" w:hAnsi="仿宋" w:eastAsia="仿宋" w:cs="仿宋"/>
          <w:kern w:val="0"/>
          <w:sz w:val="32"/>
          <w:szCs w:val="32"/>
        </w:rPr>
        <w:t>.0分。</w:t>
      </w:r>
    </w:p>
    <w:p w14:paraId="42ED885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3、资金投入（满分5.0分，实得5.0分）</w:t>
      </w:r>
    </w:p>
    <w:p w14:paraId="0ED8024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（1）预算编制科学性（满分2.0分，实得2.0分）</w:t>
      </w:r>
    </w:p>
    <w:p w14:paraId="1120DBB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项目由扶风县教育体育局申请，经扶风县财政局审核，经人大会议审批，列入部门预算。经分析，预算编制经过科学论证</w:t>
      </w:r>
      <w:r>
        <w:rPr>
          <w:rFonts w:hint="eastAsia" w:ascii="仿宋" w:hAnsi="仿宋" w:eastAsia="仿宋" w:cs="仿宋"/>
          <w:kern w:val="0"/>
          <w:sz w:val="32"/>
          <w:szCs w:val="32"/>
          <w:lang w:eastAsia="zh-CN"/>
        </w:rPr>
        <w:t>，</w:t>
      </w:r>
      <w:r>
        <w:rPr>
          <w:rFonts w:ascii="仿宋" w:hAnsi="仿宋" w:eastAsia="仿宋" w:cs="仿宋"/>
          <w:kern w:val="0"/>
          <w:sz w:val="32"/>
          <w:szCs w:val="32"/>
        </w:rPr>
        <w:t>预算内容与项目内容相匹配</w:t>
      </w:r>
      <w:r>
        <w:rPr>
          <w:rFonts w:hint="eastAsia" w:ascii="仿宋" w:hAnsi="仿宋" w:eastAsia="仿宋" w:cs="仿宋"/>
          <w:kern w:val="0"/>
          <w:sz w:val="32"/>
          <w:szCs w:val="32"/>
          <w:lang w:eastAsia="zh-CN"/>
        </w:rPr>
        <w:t>，</w:t>
      </w:r>
      <w:r>
        <w:rPr>
          <w:rFonts w:ascii="仿宋" w:hAnsi="仿宋" w:eastAsia="仿宋" w:cs="仿宋"/>
          <w:kern w:val="0"/>
          <w:sz w:val="32"/>
          <w:szCs w:val="32"/>
        </w:rPr>
        <w:t>预算额度测算依据充分、按照标准编制</w:t>
      </w:r>
      <w:r>
        <w:rPr>
          <w:rFonts w:hint="eastAsia" w:ascii="仿宋" w:hAnsi="仿宋" w:eastAsia="仿宋" w:cs="仿宋"/>
          <w:kern w:val="0"/>
          <w:sz w:val="32"/>
          <w:szCs w:val="32"/>
          <w:lang w:eastAsia="zh-CN"/>
        </w:rPr>
        <w:t>，</w:t>
      </w:r>
      <w:r>
        <w:rPr>
          <w:rFonts w:ascii="仿宋" w:hAnsi="仿宋" w:eastAsia="仿宋" w:cs="仿宋"/>
          <w:kern w:val="0"/>
          <w:sz w:val="32"/>
          <w:szCs w:val="32"/>
        </w:rPr>
        <w:t>预算确定的项目投资额与工作任务相匹配。</w:t>
      </w:r>
    </w:p>
    <w:p w14:paraId="6B8E382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根据评分标准，本指标满分2.0分，扣0.0分，评价得2.0分。</w:t>
      </w:r>
    </w:p>
    <w:p w14:paraId="20751A0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（2）资金分配合理性（满分3.0分，实得3.0分）</w:t>
      </w:r>
    </w:p>
    <w:p w14:paraId="5CDAE56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扶风县财政局以批准的资金预算向扶风县教育体育局下达项目资金，资金拨付以批准的部门预算额度为准。经分析，预算资金分配依据充分</w:t>
      </w:r>
      <w:r>
        <w:rPr>
          <w:rFonts w:hint="eastAsia" w:ascii="仿宋" w:hAnsi="仿宋" w:eastAsia="仿宋" w:cs="仿宋"/>
          <w:kern w:val="0"/>
          <w:sz w:val="32"/>
          <w:szCs w:val="32"/>
          <w:lang w:eastAsia="zh-CN"/>
        </w:rPr>
        <w:t>，</w:t>
      </w:r>
      <w:r>
        <w:rPr>
          <w:rFonts w:ascii="仿宋" w:hAnsi="仿宋" w:eastAsia="仿宋" w:cs="仿宋"/>
          <w:kern w:val="0"/>
          <w:sz w:val="32"/>
          <w:szCs w:val="32"/>
        </w:rPr>
        <w:t>资金分配额度合理、与项目实际相适应。</w:t>
      </w:r>
    </w:p>
    <w:p w14:paraId="29811E6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768C682C">
      <w:pPr>
        <w:pStyle w:val="3"/>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rPr>
      </w:pPr>
      <w:bookmarkStart w:id="70" w:name="_Toc1250"/>
      <w:r>
        <w:rPr>
          <w:rFonts w:hint="eastAsia"/>
        </w:rPr>
        <w:t>（二）过程指标（满分22.0分，实得</w:t>
      </w:r>
      <w:r>
        <w:rPr>
          <w:rFonts w:hint="eastAsia"/>
          <w:lang w:val="en-US" w:eastAsia="zh-CN"/>
        </w:rPr>
        <w:t>18</w:t>
      </w:r>
      <w:r>
        <w:rPr>
          <w:rFonts w:hint="eastAsia"/>
        </w:rPr>
        <w:t>.</w:t>
      </w:r>
      <w:r>
        <w:rPr>
          <w:rFonts w:hint="eastAsia"/>
          <w:lang w:val="en-US" w:eastAsia="zh-CN"/>
        </w:rPr>
        <w:t>5</w:t>
      </w:r>
      <w:r>
        <w:rPr>
          <w:rFonts w:hint="eastAsia"/>
        </w:rPr>
        <w:t>分）</w:t>
      </w:r>
      <w:bookmarkEnd w:id="70"/>
    </w:p>
    <w:p w14:paraId="4481889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1、资金管理（满分11.0分，实得10.0分）</w:t>
      </w:r>
    </w:p>
    <w:p w14:paraId="7AE63FA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（1）资金到位率（满分4.0分，实得4.0分）</w:t>
      </w:r>
    </w:p>
    <w:p w14:paraId="73A1294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评价小组查阅了项目有关的预算资金下达文件：</w:t>
      </w:r>
    </w:p>
    <w:p w14:paraId="08042AF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扶风县财政局于2023年3月27日以"扶财办预〔2023〕024号"文件向扶风县教育体育局下达项目预算资金700万元，已下达到扶风县教育体育局</w:t>
      </w:r>
      <w:r>
        <w:rPr>
          <w:rFonts w:hint="eastAsia" w:ascii="仿宋" w:hAnsi="仿宋" w:eastAsia="仿宋" w:cs="仿宋"/>
          <w:kern w:val="0"/>
          <w:sz w:val="32"/>
          <w:szCs w:val="32"/>
          <w:lang w:eastAsia="zh-CN"/>
        </w:rPr>
        <w:t>，</w:t>
      </w:r>
      <w:r>
        <w:rPr>
          <w:rFonts w:ascii="仿宋" w:hAnsi="仿宋" w:eastAsia="仿宋" w:cs="仿宋"/>
          <w:kern w:val="0"/>
          <w:sz w:val="32"/>
          <w:szCs w:val="32"/>
        </w:rPr>
        <w:t>实际到位资金700万元，资金到位率100.00%。</w:t>
      </w:r>
    </w:p>
    <w:p w14:paraId="606CDAF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根据评分标准，本指标满分4.0分，扣0.0分，评价得4.0分。</w:t>
      </w:r>
    </w:p>
    <w:p w14:paraId="2392F33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（2）预算执行率（满分5.0分，实得4.0分）</w:t>
      </w:r>
    </w:p>
    <w:p w14:paraId="04E473B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项目实际到位资金为700万元，实际支出资金为696.49万元，总预算执行率为99.50%。</w:t>
      </w:r>
    </w:p>
    <w:p w14:paraId="3EC9504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根据评分标准，本指标满分5.0分，扣1.0分，评价得4.0分。</w:t>
      </w:r>
    </w:p>
    <w:p w14:paraId="080A44A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（3）资金使用合规性（满分2.0分，实得2.0分）</w:t>
      </w:r>
    </w:p>
    <w:p w14:paraId="1CAF3F5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项目资金支付时由扶风</w:t>
      </w:r>
      <w:r>
        <w:rPr>
          <w:rFonts w:hint="eastAsia" w:ascii="仿宋" w:hAnsi="仿宋" w:eastAsia="仿宋" w:cs="仿宋"/>
          <w:kern w:val="0"/>
          <w:sz w:val="32"/>
          <w:szCs w:val="32"/>
          <w:lang w:val="en-US" w:eastAsia="zh-CN"/>
        </w:rPr>
        <w:t>中学</w:t>
      </w:r>
      <w:r>
        <w:rPr>
          <w:rFonts w:ascii="仿宋" w:hAnsi="仿宋" w:eastAsia="仿宋" w:cs="仿宋"/>
          <w:kern w:val="0"/>
          <w:sz w:val="32"/>
          <w:szCs w:val="32"/>
        </w:rPr>
        <w:t>提出申请，经扶风县</w:t>
      </w:r>
      <w:r>
        <w:rPr>
          <w:rFonts w:hint="eastAsia" w:ascii="仿宋" w:hAnsi="仿宋" w:eastAsia="仿宋" w:cs="仿宋"/>
          <w:kern w:val="0"/>
          <w:sz w:val="32"/>
          <w:szCs w:val="32"/>
          <w:lang w:val="en-US" w:eastAsia="zh-CN"/>
        </w:rPr>
        <w:t>教育体育</w:t>
      </w:r>
      <w:r>
        <w:rPr>
          <w:rFonts w:ascii="仿宋" w:hAnsi="仿宋" w:eastAsia="仿宋" w:cs="仿宋"/>
          <w:kern w:val="0"/>
          <w:sz w:val="32"/>
          <w:szCs w:val="32"/>
        </w:rPr>
        <w:t>局审核及批准;项目达到合同规定的付款条件，凭合同、发票、验收资料等，按照</w:t>
      </w:r>
      <w:r>
        <w:rPr>
          <w:rFonts w:hint="eastAsia" w:ascii="仿宋" w:hAnsi="仿宋" w:eastAsia="仿宋" w:cs="仿宋"/>
          <w:kern w:val="0"/>
          <w:sz w:val="32"/>
          <w:szCs w:val="32"/>
          <w:lang w:val="en-US" w:eastAsia="zh-CN"/>
        </w:rPr>
        <w:t>审</w:t>
      </w:r>
      <w:r>
        <w:rPr>
          <w:rFonts w:ascii="仿宋" w:hAnsi="仿宋" w:eastAsia="仿宋" w:cs="仿宋"/>
          <w:kern w:val="0"/>
          <w:sz w:val="32"/>
          <w:szCs w:val="32"/>
        </w:rPr>
        <w:t>批流程批准后，资金直接支付给施工单位。经分析，资金的拨付有完整的审批程序和手续；符合项目合同规定的用途；不存在截留、挤占、挪用、虚列支出等情况。</w:t>
      </w:r>
    </w:p>
    <w:p w14:paraId="4274501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根据评分标准，本指标满分2.0分，扣0.0分，评价得2.0分。</w:t>
      </w:r>
    </w:p>
    <w:p w14:paraId="57348A8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2、组织实施（满分11.0分，实得</w:t>
      </w:r>
      <w:r>
        <w:rPr>
          <w:rFonts w:hint="eastAsia" w:ascii="仿宋" w:hAnsi="仿宋" w:eastAsia="仿宋" w:cs="仿宋"/>
          <w:kern w:val="0"/>
          <w:sz w:val="32"/>
          <w:szCs w:val="32"/>
          <w:lang w:val="en-US" w:eastAsia="zh-CN"/>
        </w:rPr>
        <w:t>8</w:t>
      </w:r>
      <w:r>
        <w:rPr>
          <w:rFonts w:ascii="仿宋" w:hAnsi="仿宋" w:eastAsia="仿宋" w:cs="仿宋"/>
          <w:kern w:val="0"/>
          <w:sz w:val="32"/>
          <w:szCs w:val="32"/>
        </w:rPr>
        <w:t>.</w:t>
      </w:r>
      <w:r>
        <w:rPr>
          <w:rFonts w:hint="eastAsia" w:ascii="仿宋" w:hAnsi="仿宋" w:eastAsia="仿宋" w:cs="仿宋"/>
          <w:kern w:val="0"/>
          <w:sz w:val="32"/>
          <w:szCs w:val="32"/>
          <w:lang w:val="en-US" w:eastAsia="zh-CN"/>
        </w:rPr>
        <w:t>5</w:t>
      </w:r>
      <w:r>
        <w:rPr>
          <w:rFonts w:ascii="仿宋" w:hAnsi="仿宋" w:eastAsia="仿宋" w:cs="仿宋"/>
          <w:kern w:val="0"/>
          <w:sz w:val="32"/>
          <w:szCs w:val="32"/>
        </w:rPr>
        <w:t>分）</w:t>
      </w:r>
    </w:p>
    <w:p w14:paraId="54AE513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（1）项目采购规范性（满分5.0分，实得5.0分）</w:t>
      </w:r>
    </w:p>
    <w:p w14:paraId="75D6496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扶风县扶风高中委托誉盈国际项目管理有限公司，通过公开招标方式确定公寓楼室内墙面粉刷、云教室、数字化理化生探究实验室等项目的施工单位。经分析，项目组织了项目采购</w:t>
      </w:r>
      <w:r>
        <w:rPr>
          <w:rFonts w:hint="eastAsia" w:ascii="仿宋" w:hAnsi="仿宋" w:eastAsia="仿宋" w:cs="仿宋"/>
          <w:kern w:val="0"/>
          <w:sz w:val="32"/>
          <w:szCs w:val="32"/>
          <w:lang w:eastAsia="zh-CN"/>
        </w:rPr>
        <w:t>，</w:t>
      </w:r>
      <w:r>
        <w:rPr>
          <w:rFonts w:ascii="仿宋" w:hAnsi="仿宋" w:eastAsia="仿宋" w:cs="仿宋"/>
          <w:kern w:val="0"/>
          <w:sz w:val="32"/>
          <w:szCs w:val="32"/>
        </w:rPr>
        <w:t>项目单位已经</w:t>
      </w:r>
      <w:r>
        <w:rPr>
          <w:rFonts w:hint="eastAsia" w:ascii="仿宋" w:hAnsi="仿宋" w:eastAsia="仿宋" w:cs="仿宋"/>
          <w:kern w:val="0"/>
          <w:sz w:val="32"/>
          <w:szCs w:val="32"/>
          <w:lang w:val="en-US" w:eastAsia="zh-CN"/>
        </w:rPr>
        <w:t>按</w:t>
      </w:r>
      <w:r>
        <w:rPr>
          <w:rFonts w:ascii="仿宋" w:hAnsi="仿宋" w:eastAsia="仿宋" w:cs="仿宋"/>
          <w:kern w:val="0"/>
          <w:sz w:val="32"/>
          <w:szCs w:val="32"/>
        </w:rPr>
        <w:t>规定与中标人签订项目合同、采取措施确保项目按期推进</w:t>
      </w:r>
      <w:r>
        <w:rPr>
          <w:rFonts w:hint="eastAsia" w:ascii="仿宋" w:hAnsi="仿宋" w:eastAsia="仿宋" w:cs="仿宋"/>
          <w:kern w:val="0"/>
          <w:sz w:val="32"/>
          <w:szCs w:val="32"/>
          <w:lang w:eastAsia="zh-CN"/>
        </w:rPr>
        <w:t>，</w:t>
      </w:r>
      <w:r>
        <w:rPr>
          <w:rFonts w:ascii="仿宋" w:hAnsi="仿宋" w:eastAsia="仿宋" w:cs="仿宋"/>
          <w:kern w:val="0"/>
          <w:sz w:val="32"/>
          <w:szCs w:val="32"/>
        </w:rPr>
        <w:t>项目实施的各项条件已经落实到位。</w:t>
      </w:r>
    </w:p>
    <w:p w14:paraId="4516F99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根据评分标准，本指标满分5.0分，扣0.0分，评价得5.0分。</w:t>
      </w:r>
    </w:p>
    <w:p w14:paraId="02F1856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（2）管理制度健全性（满分2.0分，实得</w:t>
      </w:r>
      <w:r>
        <w:rPr>
          <w:rFonts w:hint="eastAsia" w:ascii="仿宋" w:hAnsi="仿宋" w:eastAsia="仿宋" w:cs="仿宋"/>
          <w:kern w:val="0"/>
          <w:sz w:val="32"/>
          <w:szCs w:val="32"/>
          <w:lang w:val="en-US" w:eastAsia="zh-CN"/>
        </w:rPr>
        <w:t>1.5</w:t>
      </w:r>
      <w:r>
        <w:rPr>
          <w:rFonts w:ascii="仿宋" w:hAnsi="仿宋" w:eastAsia="仿宋" w:cs="仿宋"/>
          <w:kern w:val="0"/>
          <w:sz w:val="32"/>
          <w:szCs w:val="32"/>
        </w:rPr>
        <w:t>分）</w:t>
      </w:r>
    </w:p>
    <w:p w14:paraId="69C000B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kern w:val="0"/>
          <w:sz w:val="32"/>
          <w:szCs w:val="32"/>
          <w:lang w:val="en-US" w:eastAsia="zh-CN"/>
        </w:rPr>
      </w:pPr>
      <w:r>
        <w:rPr>
          <w:rFonts w:ascii="仿宋" w:hAnsi="仿宋" w:eastAsia="仿宋" w:cs="仿宋"/>
          <w:kern w:val="0"/>
          <w:sz w:val="32"/>
          <w:szCs w:val="32"/>
        </w:rPr>
        <w:t>项目制定相应的</w:t>
      </w:r>
      <w:r>
        <w:rPr>
          <w:rFonts w:hint="eastAsia" w:ascii="仿宋" w:hAnsi="仿宋" w:eastAsia="仿宋" w:cs="仿宋"/>
          <w:kern w:val="0"/>
          <w:sz w:val="32"/>
          <w:szCs w:val="32"/>
          <w:lang w:val="en-US" w:eastAsia="zh-CN"/>
        </w:rPr>
        <w:t>项目</w:t>
      </w:r>
      <w:r>
        <w:rPr>
          <w:rFonts w:ascii="仿宋" w:hAnsi="仿宋" w:eastAsia="仿宋" w:cs="仿宋"/>
          <w:kern w:val="0"/>
          <w:sz w:val="32"/>
          <w:szCs w:val="32"/>
        </w:rPr>
        <w:t>管理</w:t>
      </w:r>
      <w:r>
        <w:rPr>
          <w:rFonts w:hint="eastAsia" w:ascii="仿宋" w:hAnsi="仿宋" w:eastAsia="仿宋" w:cs="仿宋"/>
          <w:kern w:val="0"/>
          <w:sz w:val="32"/>
          <w:szCs w:val="32"/>
          <w:lang w:val="en-US" w:eastAsia="zh-CN"/>
        </w:rPr>
        <w:t>办法并规定：</w:t>
      </w:r>
      <w:r>
        <w:rPr>
          <w:rFonts w:hint="eastAsia" w:ascii="仿宋" w:hAnsi="仿宋" w:eastAsia="仿宋" w:cs="仿宋"/>
          <w:kern w:val="0"/>
          <w:sz w:val="32"/>
          <w:szCs w:val="32"/>
        </w:rPr>
        <w:t>建设项目操作流程</w:t>
      </w:r>
      <w:r>
        <w:rPr>
          <w:rFonts w:hint="eastAsia" w:ascii="仿宋" w:hAnsi="仿宋" w:eastAsia="仿宋" w:cs="仿宋"/>
          <w:kern w:val="0"/>
          <w:sz w:val="32"/>
          <w:szCs w:val="32"/>
          <w:lang w:val="en-US" w:eastAsia="zh-CN"/>
        </w:rPr>
        <w:t>为，</w:t>
      </w:r>
      <w:r>
        <w:rPr>
          <w:rFonts w:hint="eastAsia" w:ascii="仿宋" w:hAnsi="仿宋" w:eastAsia="仿宋" w:cs="仿宋"/>
          <w:kern w:val="0"/>
          <w:sz w:val="32"/>
          <w:szCs w:val="32"/>
        </w:rPr>
        <w:t>项目资金申报--项目设计和工程预算--总务处办理工程审核审批手续--委托代理公司--发布招标公告--进行项目招投标--招标结果公示--签订施工合同--项目竣工验收、审计和建设归档--资金核算与支付管理。建设项目的投资总额要严格按照县财政局、县教体局核定的额度等实施，严格禁止违规增加投资预算。建设项目按照现教体局项目办规定的流程上报项目申请、初步设计及概算。建设项目可行性分析报告应当委托有相应资质的单位编制。针对学校建设项目实施时间的特殊性，要不断优化组织方案，科学调整施工计划，加快推进项目施工进度。聘请专业监理公司实行24小时旁站式监理，要进一步压实责任，统筹落实安全环保要求，狠抓每个环节，盯紧每个细节，把质量第一、安全为先的理念贯穿项目建设全过程，消除各类安全隐患，全力打造优质工程</w:t>
      </w:r>
      <w:r>
        <w:rPr>
          <w:rFonts w:hint="eastAsia" w:ascii="仿宋" w:hAnsi="仿宋" w:eastAsia="仿宋" w:cs="仿宋"/>
          <w:kern w:val="0"/>
          <w:sz w:val="32"/>
          <w:szCs w:val="32"/>
          <w:lang w:val="en-US" w:eastAsia="zh-CN"/>
        </w:rPr>
        <w:t>等。</w:t>
      </w:r>
      <w:r>
        <w:rPr>
          <w:rFonts w:ascii="仿宋" w:hAnsi="仿宋" w:eastAsia="仿宋" w:cs="仿宋"/>
          <w:kern w:val="0"/>
          <w:sz w:val="32"/>
          <w:szCs w:val="32"/>
          <w:highlight w:val="none"/>
        </w:rPr>
        <w:t>经分析，项目单位具有</w:t>
      </w:r>
      <w:r>
        <w:rPr>
          <w:rFonts w:hint="eastAsia" w:ascii="仿宋" w:hAnsi="仿宋" w:eastAsia="仿宋" w:cs="仿宋"/>
          <w:kern w:val="0"/>
          <w:sz w:val="32"/>
          <w:szCs w:val="32"/>
          <w:highlight w:val="none"/>
          <w:lang w:val="en-US" w:eastAsia="zh-CN"/>
        </w:rPr>
        <w:t>项目</w:t>
      </w:r>
      <w:r>
        <w:rPr>
          <w:rFonts w:ascii="仿宋" w:hAnsi="仿宋" w:eastAsia="仿宋" w:cs="仿宋"/>
          <w:kern w:val="0"/>
          <w:sz w:val="32"/>
          <w:szCs w:val="32"/>
          <w:highlight w:val="none"/>
        </w:rPr>
        <w:t>管理</w:t>
      </w:r>
      <w:r>
        <w:rPr>
          <w:rFonts w:hint="eastAsia" w:ascii="仿宋" w:hAnsi="仿宋" w:eastAsia="仿宋" w:cs="仿宋"/>
          <w:kern w:val="0"/>
          <w:sz w:val="32"/>
          <w:szCs w:val="32"/>
          <w:highlight w:val="none"/>
          <w:lang w:val="en-US" w:eastAsia="zh-CN"/>
        </w:rPr>
        <w:t>办法</w:t>
      </w:r>
      <w:r>
        <w:rPr>
          <w:rFonts w:ascii="仿宋" w:hAnsi="仿宋" w:eastAsia="仿宋" w:cs="仿宋"/>
          <w:kern w:val="0"/>
          <w:sz w:val="32"/>
          <w:szCs w:val="32"/>
          <w:highlight w:val="none"/>
        </w:rPr>
        <w:t>，业务管理制度合法、合规、完整</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但未提供财务管理制度</w:t>
      </w:r>
      <w:r>
        <w:rPr>
          <w:rFonts w:ascii="仿宋" w:hAnsi="仿宋" w:eastAsia="仿宋" w:cs="仿宋"/>
          <w:kern w:val="0"/>
          <w:sz w:val="32"/>
          <w:szCs w:val="32"/>
          <w:highlight w:val="none"/>
        </w:rPr>
        <w:t>。</w:t>
      </w:r>
    </w:p>
    <w:p w14:paraId="5738BEB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w:t>
      </w:r>
      <w:r>
        <w:rPr>
          <w:rFonts w:hint="eastAsia" w:ascii="仿宋" w:hAnsi="仿宋" w:eastAsia="仿宋" w:cs="仿宋"/>
          <w:kern w:val="0"/>
          <w:sz w:val="32"/>
          <w:szCs w:val="32"/>
          <w:lang w:val="en-US" w:eastAsia="zh-CN"/>
        </w:rPr>
        <w:t>0.5</w:t>
      </w:r>
      <w:r>
        <w:rPr>
          <w:rFonts w:ascii="仿宋" w:hAnsi="仿宋" w:eastAsia="仿宋" w:cs="仿宋"/>
          <w:kern w:val="0"/>
          <w:sz w:val="32"/>
          <w:szCs w:val="32"/>
        </w:rPr>
        <w:t>分，评价得</w:t>
      </w:r>
      <w:r>
        <w:rPr>
          <w:rFonts w:hint="eastAsia" w:ascii="仿宋" w:hAnsi="仿宋" w:eastAsia="仿宋" w:cs="仿宋"/>
          <w:kern w:val="0"/>
          <w:sz w:val="32"/>
          <w:szCs w:val="32"/>
          <w:lang w:val="en-US" w:eastAsia="zh-CN"/>
        </w:rPr>
        <w:t>1.5</w:t>
      </w:r>
      <w:r>
        <w:rPr>
          <w:rFonts w:ascii="仿宋" w:hAnsi="仿宋" w:eastAsia="仿宋" w:cs="仿宋"/>
          <w:kern w:val="0"/>
          <w:sz w:val="32"/>
          <w:szCs w:val="32"/>
        </w:rPr>
        <w:t>分。</w:t>
      </w:r>
    </w:p>
    <w:p w14:paraId="0F10439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（3）绩效自评规范性（满分4.0分，实得</w:t>
      </w:r>
      <w:r>
        <w:rPr>
          <w:rFonts w:hint="eastAsia" w:ascii="仿宋" w:hAnsi="仿宋" w:eastAsia="仿宋" w:cs="仿宋"/>
          <w:kern w:val="0"/>
          <w:sz w:val="32"/>
          <w:szCs w:val="32"/>
          <w:lang w:val="en-US" w:eastAsia="zh-CN"/>
        </w:rPr>
        <w:t>2</w:t>
      </w:r>
      <w:r>
        <w:rPr>
          <w:rFonts w:ascii="仿宋" w:hAnsi="仿宋" w:eastAsia="仿宋" w:cs="仿宋"/>
          <w:kern w:val="0"/>
          <w:sz w:val="32"/>
          <w:szCs w:val="32"/>
        </w:rPr>
        <w:t>.0分）</w:t>
      </w:r>
    </w:p>
    <w:p w14:paraId="39632AE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项目单位已经开展了绩效自评工作，编制自评报告送财政部门。项目实施单位开展了绩效自评工作，自评报告</w:t>
      </w:r>
      <w:r>
        <w:rPr>
          <w:rFonts w:hint="eastAsia" w:ascii="仿宋" w:hAnsi="仿宋" w:eastAsia="仿宋" w:cs="仿宋"/>
          <w:kern w:val="0"/>
          <w:sz w:val="32"/>
          <w:szCs w:val="32"/>
          <w:highlight w:val="none"/>
          <w:lang w:val="en-US" w:eastAsia="zh-CN"/>
        </w:rPr>
        <w:t>中产出无数量，</w:t>
      </w:r>
      <w:r>
        <w:rPr>
          <w:rFonts w:ascii="仿宋" w:hAnsi="仿宋" w:eastAsia="仿宋" w:cs="仿宋"/>
          <w:kern w:val="0"/>
          <w:sz w:val="32"/>
          <w:szCs w:val="32"/>
          <w:highlight w:val="none"/>
        </w:rPr>
        <w:t>未编制自评表。</w:t>
      </w:r>
    </w:p>
    <w:p w14:paraId="4FC285C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p>
    <w:p w14:paraId="2166590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w:t>
      </w:r>
      <w:r>
        <w:rPr>
          <w:rFonts w:hint="eastAsia" w:ascii="仿宋" w:hAnsi="仿宋" w:eastAsia="仿宋" w:cs="仿宋"/>
          <w:kern w:val="0"/>
          <w:sz w:val="32"/>
          <w:szCs w:val="32"/>
          <w:lang w:val="en-US" w:eastAsia="zh-CN"/>
        </w:rPr>
        <w:t>2</w:t>
      </w:r>
      <w:r>
        <w:rPr>
          <w:rFonts w:ascii="仿宋" w:hAnsi="仿宋" w:eastAsia="仿宋" w:cs="仿宋"/>
          <w:kern w:val="0"/>
          <w:sz w:val="32"/>
          <w:szCs w:val="32"/>
        </w:rPr>
        <w:t>.0分，评价得</w:t>
      </w:r>
      <w:r>
        <w:rPr>
          <w:rFonts w:hint="eastAsia" w:ascii="仿宋" w:hAnsi="仿宋" w:eastAsia="仿宋" w:cs="仿宋"/>
          <w:kern w:val="0"/>
          <w:sz w:val="32"/>
          <w:szCs w:val="32"/>
          <w:lang w:val="en-US" w:eastAsia="zh-CN"/>
        </w:rPr>
        <w:t>2</w:t>
      </w:r>
      <w:r>
        <w:rPr>
          <w:rFonts w:ascii="仿宋" w:hAnsi="仿宋" w:eastAsia="仿宋" w:cs="仿宋"/>
          <w:kern w:val="0"/>
          <w:sz w:val="32"/>
          <w:szCs w:val="32"/>
        </w:rPr>
        <w:t>.0分。</w:t>
      </w:r>
    </w:p>
    <w:p w14:paraId="555304B7">
      <w:pPr>
        <w:pStyle w:val="3"/>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rPr>
      </w:pPr>
      <w:bookmarkStart w:id="71" w:name="_Toc26651"/>
      <w:r>
        <w:rPr>
          <w:rFonts w:hint="eastAsia"/>
        </w:rPr>
        <w:t>（三）产出指标（满分36.0分，实得36.0分）</w:t>
      </w:r>
      <w:bookmarkEnd w:id="71"/>
    </w:p>
    <w:p w14:paraId="6B040D4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1、数量指标（满分9.0分，实得9.0分）</w:t>
      </w:r>
    </w:p>
    <w:p w14:paraId="31C5E93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rPr>
        <w:t>（</w:t>
      </w:r>
      <w:r>
        <w:rPr>
          <w:rFonts w:ascii="仿宋" w:hAnsi="仿宋" w:eastAsia="仿宋" w:cs="仿宋"/>
          <w:kern w:val="0"/>
          <w:sz w:val="32"/>
          <w:szCs w:val="32"/>
          <w:highlight w:val="none"/>
        </w:rPr>
        <w:t>1）</w:t>
      </w:r>
      <w:r>
        <w:rPr>
          <w:rFonts w:hint="eastAsia" w:ascii="仿宋" w:hAnsi="仿宋" w:eastAsia="仿宋" w:cs="仿宋"/>
          <w:kern w:val="0"/>
          <w:sz w:val="32"/>
          <w:szCs w:val="32"/>
          <w:highlight w:val="none"/>
          <w:lang w:val="en-US" w:eastAsia="zh-CN"/>
        </w:rPr>
        <w:t>项目</w:t>
      </w:r>
      <w:r>
        <w:rPr>
          <w:rFonts w:ascii="仿宋" w:hAnsi="仿宋" w:eastAsia="仿宋" w:cs="仿宋"/>
          <w:kern w:val="0"/>
          <w:sz w:val="32"/>
          <w:szCs w:val="32"/>
          <w:highlight w:val="none"/>
        </w:rPr>
        <w:t>实际完成率（满分9.0分，实得9.0分）</w:t>
      </w:r>
    </w:p>
    <w:p w14:paraId="49E3416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highlight w:val="none"/>
        </w:rPr>
        <w:t>为了核实项目的</w:t>
      </w:r>
      <w:r>
        <w:rPr>
          <w:rFonts w:ascii="仿宋" w:hAnsi="仿宋" w:eastAsia="仿宋" w:cs="仿宋"/>
          <w:kern w:val="0"/>
          <w:sz w:val="32"/>
          <w:szCs w:val="32"/>
        </w:rPr>
        <w:t>实际完成情况，评价小组检查了教学楼、科技楼以及操场、宿舍楼的提升改造等项目内容，项目已实施完成。</w:t>
      </w:r>
    </w:p>
    <w:p w14:paraId="1597D18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69DA85A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2、质量指标（满分9.0分，实得9.0分）</w:t>
      </w:r>
    </w:p>
    <w:p w14:paraId="69163FC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rPr>
        <w:t>（1</w:t>
      </w:r>
      <w:r>
        <w:rPr>
          <w:rFonts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项目</w:t>
      </w:r>
      <w:r>
        <w:rPr>
          <w:rFonts w:ascii="仿宋" w:hAnsi="仿宋" w:eastAsia="仿宋" w:cs="仿宋"/>
          <w:kern w:val="0"/>
          <w:sz w:val="32"/>
          <w:szCs w:val="32"/>
          <w:highlight w:val="none"/>
        </w:rPr>
        <w:t>质量合格率（满分9.0分，实得9.0分）</w:t>
      </w:r>
    </w:p>
    <w:p w14:paraId="70165AF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highlight w:val="none"/>
        </w:rPr>
        <w:t>为了核实项目的质量</w:t>
      </w:r>
      <w:r>
        <w:rPr>
          <w:rFonts w:ascii="仿宋" w:hAnsi="仿宋" w:eastAsia="仿宋" w:cs="仿宋"/>
          <w:kern w:val="0"/>
          <w:sz w:val="32"/>
          <w:szCs w:val="32"/>
        </w:rPr>
        <w:t>情况，评价小组检查了教学楼、科技楼以及操场、宿舍楼的提升改造等项目内容，项目验收合格。</w:t>
      </w:r>
    </w:p>
    <w:p w14:paraId="381EDF7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6307578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3、时效指标（满分9.0分，实得9.0分）</w:t>
      </w:r>
    </w:p>
    <w:p w14:paraId="14C6A5C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rPr>
        <w:t>（1</w:t>
      </w:r>
      <w:r>
        <w:rPr>
          <w:rFonts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项目</w:t>
      </w:r>
      <w:r>
        <w:rPr>
          <w:rFonts w:ascii="仿宋" w:hAnsi="仿宋" w:eastAsia="仿宋" w:cs="仿宋"/>
          <w:kern w:val="0"/>
          <w:sz w:val="32"/>
          <w:szCs w:val="32"/>
          <w:highlight w:val="none"/>
        </w:rPr>
        <w:t>完成及时率（满分9.0分，实得9.0分）</w:t>
      </w:r>
    </w:p>
    <w:p w14:paraId="15846D4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highlight w:val="none"/>
        </w:rPr>
        <w:t>项目在约定的时</w:t>
      </w:r>
      <w:r>
        <w:rPr>
          <w:rFonts w:ascii="仿宋" w:hAnsi="仿宋" w:eastAsia="仿宋" w:cs="仿宋"/>
          <w:kern w:val="0"/>
          <w:sz w:val="32"/>
          <w:szCs w:val="32"/>
        </w:rPr>
        <w:t>间内完成，完成及时率100%。</w:t>
      </w:r>
    </w:p>
    <w:p w14:paraId="598F963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18DC5F1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4、成本指标（满分9.0分，实得9.0分）</w:t>
      </w:r>
    </w:p>
    <w:p w14:paraId="46DB925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rPr>
        <w:t>（</w:t>
      </w:r>
      <w:r>
        <w:rPr>
          <w:rFonts w:ascii="仿宋" w:hAnsi="仿宋" w:eastAsia="仿宋" w:cs="仿宋"/>
          <w:kern w:val="0"/>
          <w:sz w:val="32"/>
          <w:szCs w:val="32"/>
          <w:highlight w:val="none"/>
        </w:rPr>
        <w:t>1）</w:t>
      </w:r>
      <w:r>
        <w:rPr>
          <w:rFonts w:hint="eastAsia" w:ascii="仿宋" w:hAnsi="仿宋" w:eastAsia="仿宋" w:cs="仿宋"/>
          <w:kern w:val="0"/>
          <w:sz w:val="32"/>
          <w:szCs w:val="32"/>
          <w:highlight w:val="none"/>
          <w:lang w:val="en-US" w:eastAsia="zh-CN"/>
        </w:rPr>
        <w:t>项目</w:t>
      </w:r>
      <w:r>
        <w:rPr>
          <w:rFonts w:ascii="仿宋" w:hAnsi="仿宋" w:eastAsia="仿宋" w:cs="仿宋"/>
          <w:kern w:val="0"/>
          <w:sz w:val="32"/>
          <w:szCs w:val="32"/>
          <w:highlight w:val="none"/>
        </w:rPr>
        <w:t>成本节约率（满分9.0分，实得9.0分）</w:t>
      </w:r>
    </w:p>
    <w:p w14:paraId="48371A3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highlight w:val="none"/>
        </w:rPr>
        <w:t>项目预算资金下达700万元，截至2023年12月29日，已支付696.49万元，成本</w:t>
      </w:r>
      <w:r>
        <w:rPr>
          <w:rFonts w:ascii="仿宋" w:hAnsi="仿宋" w:eastAsia="仿宋" w:cs="仿宋"/>
          <w:kern w:val="0"/>
          <w:sz w:val="32"/>
          <w:szCs w:val="32"/>
        </w:rPr>
        <w:t>节约率为0.5%</w:t>
      </w:r>
    </w:p>
    <w:p w14:paraId="15D3C7C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3DDBCC18">
      <w:pPr>
        <w:pStyle w:val="3"/>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rPr>
      </w:pPr>
      <w:bookmarkStart w:id="72" w:name="_Toc23943"/>
      <w:r>
        <w:rPr>
          <w:rFonts w:hint="eastAsia"/>
        </w:rPr>
        <w:t>（四）效益指标（满分24.0分，实得24.0分）</w:t>
      </w:r>
      <w:bookmarkEnd w:id="72"/>
    </w:p>
    <w:p w14:paraId="2D8EA1A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1、社会效益（满分18.0分，实得18.0分）</w:t>
      </w:r>
    </w:p>
    <w:p w14:paraId="5646189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（1）改善教学环境，美化校园环境（满分18.0分，实得18.0分）</w:t>
      </w:r>
    </w:p>
    <w:p w14:paraId="71AA527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办学条件显著提高，同时教学效益也有了明显提高，优化教学环境，促进社会发展。</w:t>
      </w:r>
    </w:p>
    <w:p w14:paraId="584393E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根据评分标准，本指标满分18.0分，扣0.0分，评价得18.0分。</w:t>
      </w:r>
    </w:p>
    <w:p w14:paraId="4C6B646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2、满意度（满分6.0分，实得6.0分）</w:t>
      </w:r>
    </w:p>
    <w:p w14:paraId="7D100A0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（1）学校师生满意度（满分6.0分，实得6.0分）</w:t>
      </w:r>
    </w:p>
    <w:p w14:paraId="7BB7609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评价组机构通过抽样共计发放291份问卷，社会公众对项目的整体评价为非常满意。满意度调查情况详见《调查问卷分析》。</w:t>
      </w:r>
    </w:p>
    <w:p w14:paraId="22E4A14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根据评分标准，本指标满分6.0分，扣0.0分，评价得6.0分。</w:t>
      </w:r>
    </w:p>
    <w:p w14:paraId="1E41D740">
      <w:pPr>
        <w:pStyle w:val="2"/>
        <w:bidi w:val="0"/>
      </w:pPr>
      <w:bookmarkStart w:id="73" w:name="_Toc24047"/>
      <w:r>
        <w:rPr>
          <w:rFonts w:hint="eastAsia"/>
          <w:lang w:val="en-US" w:eastAsia="zh-CN"/>
        </w:rPr>
        <w:t>五</w:t>
      </w:r>
      <w:r>
        <w:rPr>
          <w:rFonts w:hint="eastAsia"/>
        </w:rPr>
        <w:t>、存在的问题</w:t>
      </w:r>
      <w:bookmarkEnd w:id="73"/>
    </w:p>
    <w:p w14:paraId="596CD91B">
      <w:pPr>
        <w:pStyle w:val="3"/>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lang w:val="en-US" w:eastAsia="zh-CN"/>
        </w:rPr>
      </w:pPr>
      <w:bookmarkStart w:id="74" w:name="_Toc16610"/>
      <w:r>
        <w:rPr>
          <w:rFonts w:hint="eastAsia"/>
        </w:rPr>
        <w:t>（一）</w:t>
      </w:r>
      <w:bookmarkEnd w:id="74"/>
      <w:r>
        <w:rPr>
          <w:rFonts w:hint="eastAsia"/>
        </w:rPr>
        <w:t>绩效</w:t>
      </w:r>
      <w:bookmarkStart w:id="75" w:name="_Toc6387"/>
      <w:r>
        <w:rPr>
          <w:rFonts w:hint="eastAsia"/>
          <w:lang w:val="en-US" w:eastAsia="zh-CN"/>
        </w:rPr>
        <w:t>指标不够明确</w:t>
      </w:r>
    </w:p>
    <w:p w14:paraId="5EFCF58E">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设置经济效益指标为改善条件受益师生，设置社会效益指标为人民群众满意率≥95%。</w:t>
      </w:r>
      <w:bookmarkStart w:id="82" w:name="_GoBack"/>
      <w:bookmarkEnd w:id="82"/>
    </w:p>
    <w:p w14:paraId="14B181E0">
      <w:pPr>
        <w:pStyle w:val="3"/>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rPr>
      </w:pPr>
      <w:r>
        <w:rPr>
          <w:rFonts w:hint="eastAsia"/>
        </w:rPr>
        <w:t>（二）项目单位</w:t>
      </w:r>
      <w:r>
        <w:rPr>
          <w:rFonts w:hint="eastAsia"/>
          <w:lang w:val="en-US" w:eastAsia="zh-CN"/>
        </w:rPr>
        <w:t>未</w:t>
      </w:r>
      <w:r>
        <w:rPr>
          <w:rFonts w:hint="eastAsia"/>
        </w:rPr>
        <w:t>制定相应的财务管理制度</w:t>
      </w:r>
      <w:bookmarkEnd w:id="75"/>
    </w:p>
    <w:p w14:paraId="6A34262D">
      <w:pPr>
        <w:pStyle w:val="3"/>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rPr>
      </w:pPr>
      <w:bookmarkStart w:id="76" w:name="_Toc17841"/>
      <w:r>
        <w:rPr>
          <w:rFonts w:hint="eastAsia"/>
        </w:rPr>
        <w:t>（三）项目单位</w:t>
      </w:r>
      <w:bookmarkEnd w:id="76"/>
      <w:r>
        <w:rPr>
          <w:rFonts w:hint="eastAsia"/>
          <w:lang w:val="en-US" w:eastAsia="zh-CN"/>
        </w:rPr>
        <w:t>自</w:t>
      </w:r>
      <w:r>
        <w:rPr>
          <w:rFonts w:hint="eastAsia"/>
        </w:rPr>
        <w:t>评报告</w:t>
      </w:r>
      <w:r>
        <w:rPr>
          <w:rFonts w:hint="eastAsia"/>
          <w:lang w:val="en-US" w:eastAsia="zh-CN"/>
        </w:rPr>
        <w:t>中产出无数量，</w:t>
      </w:r>
      <w:r>
        <w:rPr>
          <w:rFonts w:hint="eastAsia"/>
        </w:rPr>
        <w:t>未编制自评表。</w:t>
      </w:r>
    </w:p>
    <w:p w14:paraId="176A9FCE">
      <w:pPr>
        <w:pStyle w:val="2"/>
        <w:bidi w:val="0"/>
      </w:pPr>
      <w:bookmarkStart w:id="77" w:name="_Toc14739"/>
      <w:r>
        <w:rPr>
          <w:rFonts w:hint="eastAsia"/>
          <w:lang w:val="en-US" w:eastAsia="zh-CN"/>
        </w:rPr>
        <w:t>六</w:t>
      </w:r>
      <w:r>
        <w:rPr>
          <w:rFonts w:hint="eastAsia"/>
        </w:rPr>
        <w:t>、建议</w:t>
      </w:r>
      <w:bookmarkEnd w:id="77"/>
    </w:p>
    <w:p w14:paraId="1F13A71A">
      <w:pPr>
        <w:pStyle w:val="3"/>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rPr>
      </w:pPr>
      <w:bookmarkStart w:id="78" w:name="_Toc25802"/>
      <w:r>
        <w:rPr>
          <w:rFonts w:hint="eastAsia"/>
        </w:rPr>
        <w:t>（一）根据项目实际情况</w:t>
      </w:r>
      <w:r>
        <w:rPr>
          <w:rFonts w:hint="eastAsia"/>
          <w:lang w:val="en-US" w:eastAsia="zh-CN"/>
        </w:rPr>
        <w:t>准确</w:t>
      </w:r>
      <w:r>
        <w:rPr>
          <w:rFonts w:hint="eastAsia"/>
        </w:rPr>
        <w:t>设置绩效指标</w:t>
      </w:r>
      <w:bookmarkEnd w:id="78"/>
    </w:p>
    <w:p w14:paraId="25D9F90F">
      <w:pPr>
        <w:spacing w:line="600" w:lineRule="exact"/>
        <w:ind w:firstLine="640" w:firstLineChars="200"/>
        <w:rPr>
          <w:rFonts w:hint="default" w:eastAsia="仿宋"/>
          <w:lang w:val="en-US" w:eastAsia="zh-CN"/>
        </w:rPr>
      </w:pPr>
      <w:r>
        <w:rPr>
          <w:rFonts w:hint="eastAsia" w:ascii="仿宋" w:hAnsi="仿宋" w:eastAsia="仿宋" w:cs="仿宋"/>
          <w:kern w:val="0"/>
          <w:sz w:val="32"/>
          <w:szCs w:val="32"/>
        </w:rPr>
        <w:t>绩效指标是评价项目成果和效果的关键工具，通过明确、具体的绩效指标，可以客观、公正地评估项目的实施情况，为项目管理和决策提供有力支持。项目在设置绩效指标时，应当根据《预算绩效评价共性指标体系框架》（财预〔2013〕53号），结合项目实际情况设置清晰且可衡量、切实可行的指标。绩效指标应尽量量化，以便能够客观地评估项目的实施效果。对于难以量化的指标，可以采用定性描述的方式进行评估。</w:t>
      </w:r>
      <w:r>
        <w:rPr>
          <w:rFonts w:hint="eastAsia" w:ascii="仿宋" w:hAnsi="仿宋" w:eastAsia="仿宋" w:cs="仿宋"/>
          <w:kern w:val="0"/>
          <w:sz w:val="32"/>
          <w:szCs w:val="32"/>
          <w:lang w:val="en-US" w:eastAsia="zh-CN"/>
        </w:rPr>
        <w:t>例如：本项目不涉及经济效益指标可不设置；师生满意率可放至满意度指标中。</w:t>
      </w:r>
    </w:p>
    <w:p w14:paraId="0AEC6202">
      <w:pPr>
        <w:pStyle w:val="3"/>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rPr>
      </w:pPr>
      <w:bookmarkStart w:id="79" w:name="_Toc12028"/>
      <w:r>
        <w:rPr>
          <w:rFonts w:hint="eastAsia"/>
        </w:rPr>
        <w:t>（二）制定有关制度，加强绩效管理</w:t>
      </w:r>
      <w:bookmarkEnd w:id="79"/>
    </w:p>
    <w:p w14:paraId="14D55A41">
      <w:pPr>
        <w:spacing w:line="600" w:lineRule="exact"/>
        <w:ind w:firstLine="640" w:firstLineChars="200"/>
        <w:rPr>
          <w:rFonts w:hint="eastAsia" w:eastAsia="仿宋"/>
          <w:lang w:eastAsia="zh-CN"/>
        </w:rPr>
      </w:pPr>
      <w:r>
        <w:rPr>
          <w:rFonts w:hint="eastAsia" w:ascii="仿宋" w:hAnsi="仿宋" w:eastAsia="仿宋" w:cs="仿宋"/>
          <w:kern w:val="0"/>
          <w:sz w:val="32"/>
          <w:szCs w:val="32"/>
        </w:rPr>
        <w:t>项目单位应根据项目的实际需要制定相关的财务管理制度，对项目进度和绩效目标实现情况进行监控、考核，及时纠正项目实施过程中的偏差，确保项目绩效目标顺利实现</w:t>
      </w:r>
      <w:r>
        <w:rPr>
          <w:rFonts w:hint="eastAsia" w:ascii="仿宋" w:hAnsi="仿宋" w:eastAsia="仿宋" w:cs="仿宋"/>
          <w:kern w:val="0"/>
          <w:sz w:val="32"/>
          <w:szCs w:val="32"/>
          <w:lang w:eastAsia="zh-CN"/>
        </w:rPr>
        <w:t>。</w:t>
      </w:r>
    </w:p>
    <w:p w14:paraId="0347EA99">
      <w:pPr>
        <w:pStyle w:val="3"/>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eastAsia="楷体"/>
          <w:lang w:val="en-US" w:eastAsia="zh-CN"/>
        </w:rPr>
      </w:pPr>
      <w:bookmarkStart w:id="80" w:name="_Toc2959"/>
      <w:r>
        <w:rPr>
          <w:rFonts w:hint="eastAsia"/>
        </w:rPr>
        <w:t>（三）及时</w:t>
      </w:r>
      <w:r>
        <w:rPr>
          <w:rFonts w:hint="eastAsia"/>
          <w:lang w:val="en-US" w:eastAsia="zh-CN"/>
        </w:rPr>
        <w:t>编制</w:t>
      </w:r>
      <w:r>
        <w:rPr>
          <w:rFonts w:hint="eastAsia"/>
        </w:rPr>
        <w:t>绩效自评</w:t>
      </w:r>
      <w:bookmarkEnd w:id="80"/>
      <w:r>
        <w:rPr>
          <w:rFonts w:hint="eastAsia"/>
          <w:lang w:val="en-US" w:eastAsia="zh-CN"/>
        </w:rPr>
        <w:t>表</w:t>
      </w:r>
    </w:p>
    <w:p w14:paraId="2822A9A5">
      <w:pPr>
        <w:spacing w:line="600" w:lineRule="exact"/>
        <w:ind w:left="1598" w:leftChars="304" w:hanging="960" w:hangingChars="300"/>
        <w:outlineLvl w:val="0"/>
        <w:rPr>
          <w:rFonts w:hint="eastAsia" w:ascii="仿宋" w:hAnsi="仿宋" w:eastAsia="仿宋" w:cs="仿宋"/>
          <w:kern w:val="0"/>
          <w:sz w:val="32"/>
          <w:szCs w:val="32"/>
          <w:highlight w:val="none"/>
        </w:rPr>
      </w:pPr>
      <w:bookmarkStart w:id="81" w:name="_Toc10318"/>
      <w:r>
        <w:rPr>
          <w:rFonts w:hint="eastAsia" w:ascii="仿宋" w:hAnsi="仿宋" w:eastAsia="仿宋" w:cs="仿宋"/>
          <w:kern w:val="0"/>
          <w:sz w:val="32"/>
          <w:szCs w:val="32"/>
          <w:highlight w:val="none"/>
        </w:rPr>
        <w:t>项目实施完成后，及时按照完成情况编制自评表。</w:t>
      </w:r>
    </w:p>
    <w:p w14:paraId="52BAD504">
      <w:pPr>
        <w:spacing w:line="600" w:lineRule="exact"/>
        <w:ind w:left="1598" w:leftChars="304" w:hanging="960" w:hangingChars="300"/>
        <w:outlineLvl w:val="0"/>
        <w:rPr>
          <w:rFonts w:hint="eastAsia" w:ascii="仿宋" w:hAnsi="仿宋" w:eastAsia="仿宋" w:cs="仿宋"/>
          <w:kern w:val="0"/>
          <w:sz w:val="32"/>
          <w:szCs w:val="32"/>
          <w:highlight w:val="none"/>
        </w:rPr>
      </w:pPr>
    </w:p>
    <w:p w14:paraId="3E7420E9">
      <w:pPr>
        <w:spacing w:line="600" w:lineRule="exact"/>
        <w:ind w:left="1598" w:leftChars="304" w:hanging="960" w:hangingChars="300"/>
        <w:outlineLvl w:val="0"/>
        <w:rPr>
          <w:rFonts w:hint="eastAsia" w:ascii="仿宋" w:hAnsi="仿宋" w:eastAsia="仿宋" w:cs="仿宋"/>
          <w:kern w:val="0"/>
          <w:sz w:val="32"/>
          <w:szCs w:val="32"/>
          <w:highlight w:val="none"/>
        </w:rPr>
      </w:pPr>
    </w:p>
    <w:p w14:paraId="7BD3674E">
      <w:pPr>
        <w:spacing w:line="600" w:lineRule="exact"/>
        <w:ind w:left="1598" w:leftChars="304" w:hanging="960" w:hangingChars="300"/>
        <w:outlineLvl w:val="0"/>
        <w:rPr>
          <w:rFonts w:hint="eastAsia" w:ascii="仿宋" w:hAnsi="仿宋" w:eastAsia="仿宋" w:cs="仿宋"/>
          <w:kern w:val="0"/>
          <w:sz w:val="32"/>
          <w:szCs w:val="32"/>
          <w:highlight w:val="none"/>
        </w:rPr>
      </w:pPr>
    </w:p>
    <w:p w14:paraId="4F38EB5E">
      <w:pPr>
        <w:spacing w:line="600" w:lineRule="exact"/>
        <w:ind w:left="1598" w:leftChars="304" w:hanging="960" w:hangingChars="300"/>
        <w:outlineLvl w:val="0"/>
        <w:rPr>
          <w:rFonts w:ascii="仿宋" w:hAnsi="仿宋" w:eastAsia="仿宋" w:cs="仿宋"/>
          <w:bCs/>
          <w:kern w:val="0"/>
          <w:sz w:val="32"/>
          <w:szCs w:val="32"/>
        </w:rPr>
      </w:pPr>
      <w:r>
        <w:rPr>
          <w:rFonts w:hint="eastAsia" w:ascii="仿宋" w:hAnsi="仿宋" w:eastAsia="仿宋" w:cs="仿宋"/>
          <w:kern w:val="0"/>
          <w:sz w:val="32"/>
          <w:szCs w:val="32"/>
        </w:rPr>
        <w:t>附</w:t>
      </w:r>
      <w:r>
        <w:rPr>
          <w:rFonts w:hint="eastAsia" w:ascii="仿宋" w:hAnsi="仿宋" w:eastAsia="仿宋" w:cs="仿宋"/>
          <w:kern w:val="0"/>
          <w:sz w:val="32"/>
          <w:szCs w:val="32"/>
          <w:lang w:val="en-US" w:eastAsia="zh-CN"/>
        </w:rPr>
        <w:t>件1</w:t>
      </w:r>
      <w:r>
        <w:rPr>
          <w:rFonts w:hint="eastAsia" w:ascii="仿宋" w:hAnsi="仿宋" w:eastAsia="仿宋" w:cs="仿宋"/>
          <w:kern w:val="0"/>
          <w:sz w:val="32"/>
          <w:szCs w:val="32"/>
        </w:rPr>
        <w:t>.项目绩效评价指标体系打分表</w:t>
      </w:r>
      <w:bookmarkEnd w:id="61"/>
      <w:bookmarkEnd w:id="62"/>
      <w:bookmarkEnd w:id="63"/>
      <w:bookmarkEnd w:id="64"/>
      <w:bookmarkEnd w:id="65"/>
      <w:bookmarkEnd w:id="66"/>
      <w:bookmarkEnd w:id="67"/>
      <w:bookmarkEnd w:id="68"/>
      <w:bookmarkEnd w:id="81"/>
    </w:p>
    <w:p w14:paraId="75C7967A">
      <w:pPr>
        <w:spacing w:line="600" w:lineRule="exact"/>
        <w:ind w:left="197" w:firstLine="361" w:firstLineChars="113"/>
        <w:jc w:val="center"/>
        <w:rPr>
          <w:rFonts w:hint="eastAsia" w:ascii="仿宋" w:hAnsi="仿宋" w:eastAsia="仿宋" w:cs="仿宋"/>
          <w:kern w:val="0"/>
          <w:sz w:val="32"/>
          <w:szCs w:val="32"/>
        </w:rPr>
      </w:pPr>
    </w:p>
    <w:p w14:paraId="42E0308B">
      <w:pPr>
        <w:spacing w:line="600" w:lineRule="exact"/>
        <w:ind w:left="197" w:firstLine="361" w:firstLineChars="113"/>
        <w:jc w:val="center"/>
        <w:rPr>
          <w:rFonts w:hint="eastAsia" w:ascii="仿宋" w:hAnsi="仿宋" w:eastAsia="仿宋" w:cs="仿宋"/>
          <w:kern w:val="0"/>
          <w:sz w:val="32"/>
          <w:szCs w:val="32"/>
        </w:rPr>
      </w:pPr>
    </w:p>
    <w:p w14:paraId="76FF4878">
      <w:pPr>
        <w:spacing w:line="600" w:lineRule="exact"/>
        <w:ind w:left="197" w:firstLine="361" w:firstLineChars="113"/>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扶风县财政局</w:t>
      </w:r>
    </w:p>
    <w:p w14:paraId="2DB982EA">
      <w:pPr>
        <w:spacing w:line="600" w:lineRule="exact"/>
        <w:ind w:left="197" w:firstLine="361" w:firstLineChars="113"/>
        <w:jc w:val="center"/>
        <w:rPr>
          <w:rFonts w:hint="eastAsia" w:ascii="仿宋" w:hAnsi="仿宋" w:eastAsia="仿宋" w:cs="仿宋"/>
          <w:kern w:val="0"/>
          <w:sz w:val="32"/>
          <w:szCs w:val="32"/>
          <w:highlight w:val="none"/>
          <w:lang w:val="en-US" w:eastAsia="zh-CN"/>
        </w:rPr>
        <w:sectPr>
          <w:footerReference r:id="rId6" w:type="default"/>
          <w:pgSz w:w="11850" w:h="16783"/>
          <w:pgMar w:top="1440" w:right="1800" w:bottom="1440" w:left="1800" w:header="567" w:footer="992" w:gutter="0"/>
          <w:pgNumType w:fmt="decimal" w:start="1"/>
          <w:cols w:space="720" w:num="1"/>
          <w:docGrid w:type="lines" w:linePitch="312" w:charSpace="0"/>
        </w:sectPr>
      </w:pPr>
      <w:r>
        <w:rPr>
          <w:rFonts w:hint="eastAsia" w:ascii="仿宋" w:hAnsi="仿宋" w:eastAsia="仿宋" w:cs="仿宋"/>
          <w:kern w:val="0"/>
          <w:sz w:val="32"/>
          <w:szCs w:val="32"/>
          <w:highlight w:val="none"/>
        </w:rPr>
        <w:t>2024</w:t>
      </w:r>
      <w:r>
        <w:rPr>
          <w:rFonts w:hint="eastAsia" w:ascii="仿宋" w:hAnsi="仿宋" w:eastAsia="仿宋" w:cs="仿宋"/>
          <w:kern w:val="0"/>
          <w:sz w:val="32"/>
          <w:szCs w:val="32"/>
          <w:highlight w:val="none"/>
          <w:lang w:val="en-US" w:eastAsia="zh-CN"/>
        </w:rPr>
        <w:t>年</w:t>
      </w:r>
      <w:r>
        <w:rPr>
          <w:rFonts w:hint="eastAsia" w:ascii="仿宋" w:hAnsi="仿宋" w:eastAsia="仿宋" w:cs="仿宋"/>
          <w:kern w:val="0"/>
          <w:sz w:val="32"/>
          <w:szCs w:val="32"/>
          <w:highlight w:val="none"/>
        </w:rPr>
        <w:t>6</w:t>
      </w:r>
      <w:r>
        <w:rPr>
          <w:rFonts w:hint="eastAsia" w:ascii="仿宋" w:hAnsi="仿宋" w:eastAsia="仿宋" w:cs="仿宋"/>
          <w:kern w:val="0"/>
          <w:sz w:val="32"/>
          <w:szCs w:val="32"/>
          <w:highlight w:val="none"/>
          <w:lang w:val="en-US" w:eastAsia="zh-CN"/>
        </w:rPr>
        <w:t>月</w:t>
      </w:r>
      <w:r>
        <w:rPr>
          <w:rFonts w:hint="eastAsia" w:ascii="仿宋" w:hAnsi="仿宋" w:eastAsia="仿宋" w:cs="仿宋"/>
          <w:kern w:val="0"/>
          <w:sz w:val="32"/>
          <w:szCs w:val="32"/>
          <w:highlight w:val="none"/>
        </w:rPr>
        <w:t>17</w:t>
      </w:r>
      <w:r>
        <w:rPr>
          <w:rFonts w:hint="eastAsia" w:ascii="仿宋" w:hAnsi="仿宋" w:eastAsia="仿宋" w:cs="仿宋"/>
          <w:kern w:val="0"/>
          <w:sz w:val="32"/>
          <w:szCs w:val="32"/>
          <w:highlight w:val="none"/>
          <w:lang w:val="en-US" w:eastAsia="zh-CN"/>
        </w:rPr>
        <w:t>日</w:t>
      </w:r>
    </w:p>
    <w:p w14:paraId="35D2BE58">
      <w:pPr>
        <w:spacing w:line="600" w:lineRule="exact"/>
        <w:jc w:val="both"/>
        <w:rPr>
          <w:rFonts w:hint="eastAsia" w:ascii="仿宋" w:hAnsi="仿宋" w:eastAsia="仿宋" w:cs="仿宋"/>
          <w:kern w:val="0"/>
          <w:sz w:val="32"/>
          <w:szCs w:val="32"/>
        </w:rPr>
      </w:pPr>
      <w:r>
        <w:rPr>
          <w:rFonts w:hint="eastAsia" w:ascii="仿宋" w:hAnsi="仿宋" w:eastAsia="仿宋" w:cs="仿宋"/>
          <w:kern w:val="0"/>
          <w:sz w:val="32"/>
          <w:szCs w:val="32"/>
        </w:rPr>
        <w:t>附</w:t>
      </w:r>
      <w:r>
        <w:rPr>
          <w:rFonts w:hint="eastAsia" w:ascii="仿宋" w:hAnsi="仿宋" w:eastAsia="仿宋" w:cs="仿宋"/>
          <w:kern w:val="0"/>
          <w:sz w:val="32"/>
          <w:szCs w:val="32"/>
          <w:lang w:val="en-US" w:eastAsia="zh-CN"/>
        </w:rPr>
        <w:t>件</w:t>
      </w:r>
      <w:r>
        <w:rPr>
          <w:rFonts w:hint="eastAsia" w:ascii="仿宋" w:hAnsi="仿宋" w:eastAsia="仿宋" w:cs="仿宋"/>
          <w:kern w:val="0"/>
          <w:sz w:val="32"/>
          <w:szCs w:val="32"/>
        </w:rPr>
        <w:t>1</w:t>
      </w:r>
    </w:p>
    <w:p w14:paraId="549BA777">
      <w:pPr>
        <w:jc w:val="center"/>
        <w:rPr>
          <w:rFonts w:hint="eastAsia" w:ascii="仿宋" w:hAnsi="仿宋" w:eastAsia="仿宋" w:cs="仿宋"/>
          <w:kern w:val="0"/>
          <w:sz w:val="32"/>
          <w:szCs w:val="32"/>
        </w:rPr>
      </w:pPr>
      <w:r>
        <w:rPr>
          <w:rFonts w:hint="eastAsia" w:ascii="仿宋" w:hAnsi="仿宋" w:eastAsia="仿宋" w:cs="仿宋"/>
          <w:b/>
          <w:bCs/>
          <w:kern w:val="0"/>
          <w:sz w:val="40"/>
          <w:szCs w:val="40"/>
          <w:lang w:val="en-US" w:eastAsia="zh-CN"/>
        </w:rPr>
        <w:t>教学设施、设备改造提升补助-扶风高中</w:t>
      </w:r>
      <w:r>
        <w:rPr>
          <w:rFonts w:hint="default" w:ascii="仿宋" w:hAnsi="仿宋" w:eastAsia="仿宋" w:cs="仿宋"/>
          <w:b/>
          <w:bCs/>
          <w:kern w:val="0"/>
          <w:sz w:val="40"/>
          <w:szCs w:val="40"/>
          <w:lang w:val="en-US" w:eastAsia="zh-CN"/>
        </w:rPr>
        <w:t>绩效评价指标体系打分表</w:t>
      </w:r>
    </w:p>
    <w:tbl>
      <w:tblPr>
        <w:tblStyle w:val="14"/>
        <w:tblW w:w="1377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4"/>
        <w:gridCol w:w="660"/>
        <w:gridCol w:w="854"/>
        <w:gridCol w:w="660"/>
        <w:gridCol w:w="1244"/>
        <w:gridCol w:w="660"/>
        <w:gridCol w:w="809"/>
        <w:gridCol w:w="4334"/>
        <w:gridCol w:w="1166"/>
        <w:gridCol w:w="984"/>
        <w:gridCol w:w="1550"/>
      </w:tblGrid>
      <w:tr w14:paraId="4031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blHeader/>
        </w:trPr>
        <w:tc>
          <w:tcPr>
            <w:tcW w:w="1514" w:type="dxa"/>
            <w:gridSpan w:val="2"/>
            <w:shd w:val="clear" w:color="auto" w:fill="auto"/>
            <w:noWrap/>
            <w:vAlign w:val="center"/>
          </w:tcPr>
          <w:p w14:paraId="04578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514" w:type="dxa"/>
            <w:gridSpan w:val="2"/>
            <w:shd w:val="clear" w:color="auto" w:fill="auto"/>
            <w:noWrap/>
            <w:vAlign w:val="center"/>
          </w:tcPr>
          <w:p w14:paraId="43C16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904" w:type="dxa"/>
            <w:gridSpan w:val="2"/>
            <w:shd w:val="clear" w:color="auto" w:fill="auto"/>
            <w:noWrap/>
            <w:vAlign w:val="center"/>
          </w:tcPr>
          <w:p w14:paraId="34120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809" w:type="dxa"/>
            <w:vMerge w:val="restart"/>
            <w:shd w:val="clear" w:color="auto" w:fill="auto"/>
            <w:noWrap/>
            <w:vAlign w:val="center"/>
          </w:tcPr>
          <w:p w14:paraId="62D12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赋分值</w:t>
            </w:r>
          </w:p>
        </w:tc>
        <w:tc>
          <w:tcPr>
            <w:tcW w:w="4334" w:type="dxa"/>
            <w:vMerge w:val="restart"/>
            <w:shd w:val="clear" w:color="auto" w:fill="auto"/>
            <w:noWrap/>
            <w:vAlign w:val="center"/>
          </w:tcPr>
          <w:p w14:paraId="6AC1B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1166" w:type="dxa"/>
            <w:vMerge w:val="restart"/>
            <w:shd w:val="clear" w:color="auto" w:fill="auto"/>
            <w:noWrap/>
            <w:vAlign w:val="center"/>
          </w:tcPr>
          <w:p w14:paraId="57E1E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完成情况</w:t>
            </w:r>
          </w:p>
        </w:tc>
        <w:tc>
          <w:tcPr>
            <w:tcW w:w="984" w:type="dxa"/>
            <w:vMerge w:val="restart"/>
            <w:shd w:val="clear" w:color="auto" w:fill="auto"/>
            <w:noWrap/>
            <w:vAlign w:val="center"/>
          </w:tcPr>
          <w:p w14:paraId="67785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1550" w:type="dxa"/>
            <w:vMerge w:val="restart"/>
            <w:shd w:val="clear" w:color="auto" w:fill="auto"/>
            <w:noWrap/>
            <w:vAlign w:val="center"/>
          </w:tcPr>
          <w:p w14:paraId="55D1D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一级指标得分</w:t>
            </w:r>
          </w:p>
        </w:tc>
      </w:tr>
      <w:tr w14:paraId="62C9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blHeader/>
        </w:trPr>
        <w:tc>
          <w:tcPr>
            <w:tcW w:w="854" w:type="dxa"/>
            <w:shd w:val="clear" w:color="auto" w:fill="auto"/>
            <w:noWrap/>
            <w:vAlign w:val="center"/>
          </w:tcPr>
          <w:p w14:paraId="66D6F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660" w:type="dxa"/>
            <w:shd w:val="clear" w:color="auto" w:fill="auto"/>
            <w:noWrap/>
            <w:vAlign w:val="center"/>
          </w:tcPr>
          <w:p w14:paraId="56336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854" w:type="dxa"/>
            <w:shd w:val="clear" w:color="auto" w:fill="auto"/>
            <w:noWrap/>
            <w:vAlign w:val="center"/>
          </w:tcPr>
          <w:p w14:paraId="71E33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660" w:type="dxa"/>
            <w:shd w:val="clear" w:color="auto" w:fill="auto"/>
            <w:noWrap/>
            <w:vAlign w:val="center"/>
          </w:tcPr>
          <w:p w14:paraId="48FCF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1244" w:type="dxa"/>
            <w:shd w:val="clear" w:color="auto" w:fill="auto"/>
            <w:noWrap/>
            <w:vAlign w:val="center"/>
          </w:tcPr>
          <w:p w14:paraId="28514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660" w:type="dxa"/>
            <w:shd w:val="clear" w:color="auto" w:fill="auto"/>
            <w:noWrap/>
            <w:vAlign w:val="center"/>
          </w:tcPr>
          <w:p w14:paraId="10CAC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809" w:type="dxa"/>
            <w:vMerge w:val="continue"/>
            <w:shd w:val="clear" w:color="auto" w:fill="auto"/>
            <w:noWrap/>
            <w:vAlign w:val="center"/>
          </w:tcPr>
          <w:p w14:paraId="660CD999">
            <w:pPr>
              <w:jc w:val="center"/>
              <w:rPr>
                <w:rFonts w:hint="eastAsia" w:ascii="宋体" w:hAnsi="宋体" w:eastAsia="宋体" w:cs="宋体"/>
                <w:i w:val="0"/>
                <w:iCs w:val="0"/>
                <w:color w:val="000000"/>
                <w:sz w:val="22"/>
                <w:szCs w:val="22"/>
                <w:u w:val="none"/>
              </w:rPr>
            </w:pPr>
          </w:p>
        </w:tc>
        <w:tc>
          <w:tcPr>
            <w:tcW w:w="4334" w:type="dxa"/>
            <w:vMerge w:val="continue"/>
            <w:shd w:val="clear" w:color="auto" w:fill="auto"/>
            <w:noWrap/>
            <w:vAlign w:val="center"/>
          </w:tcPr>
          <w:p w14:paraId="5C2CB5F2">
            <w:pPr>
              <w:jc w:val="center"/>
              <w:rPr>
                <w:rFonts w:hint="eastAsia" w:ascii="宋体" w:hAnsi="宋体" w:eastAsia="宋体" w:cs="宋体"/>
                <w:i w:val="0"/>
                <w:iCs w:val="0"/>
                <w:color w:val="000000"/>
                <w:sz w:val="22"/>
                <w:szCs w:val="22"/>
                <w:u w:val="none"/>
              </w:rPr>
            </w:pPr>
          </w:p>
        </w:tc>
        <w:tc>
          <w:tcPr>
            <w:tcW w:w="1166" w:type="dxa"/>
            <w:vMerge w:val="continue"/>
            <w:shd w:val="clear" w:color="auto" w:fill="auto"/>
            <w:noWrap/>
            <w:vAlign w:val="center"/>
          </w:tcPr>
          <w:p w14:paraId="10A506D5">
            <w:pPr>
              <w:jc w:val="center"/>
              <w:rPr>
                <w:rFonts w:hint="eastAsia" w:ascii="宋体" w:hAnsi="宋体" w:eastAsia="宋体" w:cs="宋体"/>
                <w:i w:val="0"/>
                <w:iCs w:val="0"/>
                <w:color w:val="000000"/>
                <w:sz w:val="22"/>
                <w:szCs w:val="22"/>
                <w:u w:val="none"/>
              </w:rPr>
            </w:pPr>
          </w:p>
        </w:tc>
        <w:tc>
          <w:tcPr>
            <w:tcW w:w="984" w:type="dxa"/>
            <w:vMerge w:val="continue"/>
            <w:shd w:val="clear" w:color="auto" w:fill="auto"/>
            <w:noWrap/>
            <w:vAlign w:val="center"/>
          </w:tcPr>
          <w:p w14:paraId="10F1CA0F">
            <w:pPr>
              <w:jc w:val="center"/>
              <w:rPr>
                <w:rFonts w:hint="eastAsia" w:ascii="宋体" w:hAnsi="宋体" w:eastAsia="宋体" w:cs="宋体"/>
                <w:i w:val="0"/>
                <w:iCs w:val="0"/>
                <w:color w:val="000000"/>
                <w:sz w:val="22"/>
                <w:szCs w:val="22"/>
                <w:u w:val="none"/>
              </w:rPr>
            </w:pPr>
          </w:p>
        </w:tc>
        <w:tc>
          <w:tcPr>
            <w:tcW w:w="1550" w:type="dxa"/>
            <w:vMerge w:val="continue"/>
            <w:shd w:val="clear" w:color="auto" w:fill="auto"/>
            <w:noWrap/>
            <w:vAlign w:val="center"/>
          </w:tcPr>
          <w:p w14:paraId="384990E0">
            <w:pPr>
              <w:jc w:val="center"/>
              <w:rPr>
                <w:rFonts w:hint="eastAsia" w:ascii="宋体" w:hAnsi="宋体" w:eastAsia="宋体" w:cs="宋体"/>
                <w:i w:val="0"/>
                <w:iCs w:val="0"/>
                <w:color w:val="000000"/>
                <w:sz w:val="22"/>
                <w:szCs w:val="22"/>
                <w:u w:val="none"/>
              </w:rPr>
            </w:pPr>
          </w:p>
        </w:tc>
      </w:tr>
      <w:tr w14:paraId="0E26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854" w:type="dxa"/>
            <w:vMerge w:val="restart"/>
            <w:shd w:val="clear" w:color="auto" w:fill="auto"/>
            <w:vAlign w:val="center"/>
          </w:tcPr>
          <w:p w14:paraId="04DA7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决策指标</w:t>
            </w:r>
          </w:p>
        </w:tc>
        <w:tc>
          <w:tcPr>
            <w:tcW w:w="660" w:type="dxa"/>
            <w:vMerge w:val="restart"/>
            <w:shd w:val="clear" w:color="auto" w:fill="auto"/>
            <w:vAlign w:val="center"/>
          </w:tcPr>
          <w:p w14:paraId="5C5DA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54" w:type="dxa"/>
            <w:vMerge w:val="restart"/>
            <w:shd w:val="clear" w:color="auto" w:fill="auto"/>
            <w:vAlign w:val="center"/>
          </w:tcPr>
          <w:p w14:paraId="4F7A1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w:t>
            </w:r>
          </w:p>
        </w:tc>
        <w:tc>
          <w:tcPr>
            <w:tcW w:w="660" w:type="dxa"/>
            <w:vMerge w:val="restart"/>
            <w:shd w:val="clear" w:color="auto" w:fill="auto"/>
            <w:vAlign w:val="center"/>
          </w:tcPr>
          <w:p w14:paraId="6EC47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4" w:type="dxa"/>
            <w:vMerge w:val="restart"/>
            <w:shd w:val="clear" w:color="auto" w:fill="auto"/>
            <w:vAlign w:val="center"/>
          </w:tcPr>
          <w:p w14:paraId="75DAD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立项依据充分性</w:t>
            </w:r>
          </w:p>
        </w:tc>
        <w:tc>
          <w:tcPr>
            <w:tcW w:w="660" w:type="dxa"/>
            <w:vMerge w:val="restart"/>
            <w:shd w:val="clear" w:color="auto" w:fill="auto"/>
            <w:vAlign w:val="center"/>
          </w:tcPr>
          <w:p w14:paraId="06D7D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09" w:type="dxa"/>
            <w:shd w:val="clear" w:color="auto" w:fill="auto"/>
            <w:vAlign w:val="center"/>
          </w:tcPr>
          <w:p w14:paraId="1F2EB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334" w:type="dxa"/>
            <w:shd w:val="clear" w:color="auto" w:fill="auto"/>
            <w:vAlign w:val="center"/>
          </w:tcPr>
          <w:p w14:paraId="2401EB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项目立项是否符合国家法律法规、国民经济发展规划和相关政策；每发现一项不完备的，扣25%分值，扣完为止。</w:t>
            </w:r>
          </w:p>
        </w:tc>
        <w:tc>
          <w:tcPr>
            <w:tcW w:w="1166" w:type="dxa"/>
            <w:shd w:val="clear" w:color="auto" w:fill="auto"/>
            <w:vAlign w:val="center"/>
          </w:tcPr>
          <w:p w14:paraId="540F4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84" w:type="dxa"/>
            <w:shd w:val="clear" w:color="auto" w:fill="auto"/>
            <w:vAlign w:val="center"/>
          </w:tcPr>
          <w:p w14:paraId="61621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550" w:type="dxa"/>
            <w:vMerge w:val="restart"/>
            <w:shd w:val="clear" w:color="auto" w:fill="auto"/>
            <w:vAlign w:val="center"/>
          </w:tcPr>
          <w:p w14:paraId="19C3806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17</w:t>
            </w:r>
          </w:p>
        </w:tc>
      </w:tr>
      <w:tr w14:paraId="0B46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4" w:type="dxa"/>
            <w:vMerge w:val="continue"/>
            <w:shd w:val="clear" w:color="auto" w:fill="auto"/>
            <w:vAlign w:val="center"/>
          </w:tcPr>
          <w:p w14:paraId="00FEEFA3">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53EA0221">
            <w:pPr>
              <w:jc w:val="center"/>
              <w:rPr>
                <w:rFonts w:hint="eastAsia" w:ascii="宋体" w:hAnsi="宋体" w:eastAsia="宋体" w:cs="宋体"/>
                <w:i w:val="0"/>
                <w:iCs w:val="0"/>
                <w:color w:val="000000"/>
                <w:sz w:val="22"/>
                <w:szCs w:val="22"/>
                <w:u w:val="none"/>
              </w:rPr>
            </w:pPr>
          </w:p>
        </w:tc>
        <w:tc>
          <w:tcPr>
            <w:tcW w:w="854" w:type="dxa"/>
            <w:vMerge w:val="continue"/>
            <w:shd w:val="clear" w:color="auto" w:fill="auto"/>
            <w:vAlign w:val="center"/>
          </w:tcPr>
          <w:p w14:paraId="506C06AD">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2C9E0B78">
            <w:pPr>
              <w:jc w:val="center"/>
              <w:rPr>
                <w:rFonts w:hint="eastAsia" w:ascii="宋体" w:hAnsi="宋体" w:eastAsia="宋体" w:cs="宋体"/>
                <w:i w:val="0"/>
                <w:iCs w:val="0"/>
                <w:color w:val="000000"/>
                <w:sz w:val="22"/>
                <w:szCs w:val="22"/>
                <w:u w:val="none"/>
              </w:rPr>
            </w:pPr>
          </w:p>
        </w:tc>
        <w:tc>
          <w:tcPr>
            <w:tcW w:w="1244" w:type="dxa"/>
            <w:vMerge w:val="continue"/>
            <w:shd w:val="clear" w:color="auto" w:fill="auto"/>
            <w:vAlign w:val="center"/>
          </w:tcPr>
          <w:p w14:paraId="48AB80B4">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6BA6BA3B">
            <w:pPr>
              <w:jc w:val="center"/>
              <w:rPr>
                <w:rFonts w:hint="eastAsia" w:ascii="宋体" w:hAnsi="宋体" w:eastAsia="宋体" w:cs="宋体"/>
                <w:i w:val="0"/>
                <w:iCs w:val="0"/>
                <w:color w:val="000000"/>
                <w:sz w:val="22"/>
                <w:szCs w:val="22"/>
                <w:u w:val="none"/>
              </w:rPr>
            </w:pPr>
          </w:p>
        </w:tc>
        <w:tc>
          <w:tcPr>
            <w:tcW w:w="809" w:type="dxa"/>
            <w:shd w:val="clear" w:color="auto" w:fill="auto"/>
            <w:vAlign w:val="center"/>
          </w:tcPr>
          <w:p w14:paraId="5FDA5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334" w:type="dxa"/>
            <w:shd w:val="clear" w:color="auto" w:fill="auto"/>
            <w:vAlign w:val="center"/>
          </w:tcPr>
          <w:p w14:paraId="5276A6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项目立项是否与部门职责范围相符，属于部门履职所需；每发现一项不完备的，扣25%分值，扣完为止。</w:t>
            </w:r>
          </w:p>
        </w:tc>
        <w:tc>
          <w:tcPr>
            <w:tcW w:w="1166" w:type="dxa"/>
            <w:shd w:val="clear" w:color="auto" w:fill="auto"/>
            <w:vAlign w:val="center"/>
          </w:tcPr>
          <w:p w14:paraId="6501E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84" w:type="dxa"/>
            <w:shd w:val="clear" w:color="auto" w:fill="auto"/>
            <w:vAlign w:val="center"/>
          </w:tcPr>
          <w:p w14:paraId="32E96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550" w:type="dxa"/>
            <w:vMerge w:val="continue"/>
            <w:shd w:val="clear" w:color="auto" w:fill="auto"/>
            <w:vAlign w:val="center"/>
          </w:tcPr>
          <w:p w14:paraId="71F3F550">
            <w:pPr>
              <w:jc w:val="center"/>
              <w:rPr>
                <w:rFonts w:hint="eastAsia" w:ascii="宋体" w:hAnsi="宋体" w:eastAsia="宋体" w:cs="宋体"/>
                <w:i w:val="0"/>
                <w:iCs w:val="0"/>
                <w:color w:val="000000"/>
                <w:sz w:val="22"/>
                <w:szCs w:val="22"/>
                <w:u w:val="none"/>
              </w:rPr>
            </w:pPr>
          </w:p>
        </w:tc>
      </w:tr>
      <w:tr w14:paraId="4BE4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4" w:type="dxa"/>
            <w:vMerge w:val="continue"/>
            <w:shd w:val="clear" w:color="auto" w:fill="auto"/>
            <w:vAlign w:val="center"/>
          </w:tcPr>
          <w:p w14:paraId="3C7CBC06">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0A6A1B9E">
            <w:pPr>
              <w:jc w:val="center"/>
              <w:rPr>
                <w:rFonts w:hint="eastAsia" w:ascii="宋体" w:hAnsi="宋体" w:eastAsia="宋体" w:cs="宋体"/>
                <w:i w:val="0"/>
                <w:iCs w:val="0"/>
                <w:color w:val="000000"/>
                <w:sz w:val="22"/>
                <w:szCs w:val="22"/>
                <w:u w:val="none"/>
              </w:rPr>
            </w:pPr>
          </w:p>
        </w:tc>
        <w:tc>
          <w:tcPr>
            <w:tcW w:w="854" w:type="dxa"/>
            <w:vMerge w:val="continue"/>
            <w:shd w:val="clear" w:color="auto" w:fill="auto"/>
            <w:vAlign w:val="center"/>
          </w:tcPr>
          <w:p w14:paraId="0381C9D6">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75331F32">
            <w:pPr>
              <w:jc w:val="center"/>
              <w:rPr>
                <w:rFonts w:hint="eastAsia" w:ascii="宋体" w:hAnsi="宋体" w:eastAsia="宋体" w:cs="宋体"/>
                <w:i w:val="0"/>
                <w:iCs w:val="0"/>
                <w:color w:val="000000"/>
                <w:sz w:val="22"/>
                <w:szCs w:val="22"/>
                <w:u w:val="none"/>
              </w:rPr>
            </w:pPr>
          </w:p>
        </w:tc>
        <w:tc>
          <w:tcPr>
            <w:tcW w:w="1244" w:type="dxa"/>
            <w:vMerge w:val="continue"/>
            <w:shd w:val="clear" w:color="auto" w:fill="auto"/>
            <w:vAlign w:val="center"/>
          </w:tcPr>
          <w:p w14:paraId="0905FD3D">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355DCAC2">
            <w:pPr>
              <w:jc w:val="center"/>
              <w:rPr>
                <w:rFonts w:hint="eastAsia" w:ascii="宋体" w:hAnsi="宋体" w:eastAsia="宋体" w:cs="宋体"/>
                <w:i w:val="0"/>
                <w:iCs w:val="0"/>
                <w:color w:val="000000"/>
                <w:sz w:val="22"/>
                <w:szCs w:val="22"/>
                <w:u w:val="none"/>
              </w:rPr>
            </w:pPr>
          </w:p>
        </w:tc>
        <w:tc>
          <w:tcPr>
            <w:tcW w:w="809" w:type="dxa"/>
            <w:shd w:val="clear" w:color="auto" w:fill="auto"/>
            <w:vAlign w:val="center"/>
          </w:tcPr>
          <w:p w14:paraId="3ACD9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334" w:type="dxa"/>
            <w:shd w:val="clear" w:color="auto" w:fill="auto"/>
            <w:vAlign w:val="center"/>
          </w:tcPr>
          <w:p w14:paraId="241C9F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项目立项是否符合行业发展规划和政策要求；每发现一项不完备的，扣25%分值，扣完为止。</w:t>
            </w:r>
          </w:p>
        </w:tc>
        <w:tc>
          <w:tcPr>
            <w:tcW w:w="1166" w:type="dxa"/>
            <w:shd w:val="clear" w:color="auto" w:fill="auto"/>
            <w:vAlign w:val="center"/>
          </w:tcPr>
          <w:p w14:paraId="32395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84" w:type="dxa"/>
            <w:shd w:val="clear" w:color="auto" w:fill="auto"/>
            <w:vAlign w:val="center"/>
          </w:tcPr>
          <w:p w14:paraId="7A43C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550" w:type="dxa"/>
            <w:vMerge w:val="continue"/>
            <w:shd w:val="clear" w:color="auto" w:fill="auto"/>
            <w:vAlign w:val="center"/>
          </w:tcPr>
          <w:p w14:paraId="3459E2A0">
            <w:pPr>
              <w:jc w:val="center"/>
              <w:rPr>
                <w:rFonts w:hint="eastAsia" w:ascii="宋体" w:hAnsi="宋体" w:eastAsia="宋体" w:cs="宋体"/>
                <w:i w:val="0"/>
                <w:iCs w:val="0"/>
                <w:color w:val="000000"/>
                <w:sz w:val="22"/>
                <w:szCs w:val="22"/>
                <w:u w:val="none"/>
              </w:rPr>
            </w:pPr>
          </w:p>
        </w:tc>
      </w:tr>
      <w:tr w14:paraId="01E7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4" w:type="dxa"/>
            <w:vMerge w:val="continue"/>
            <w:shd w:val="clear" w:color="auto" w:fill="auto"/>
            <w:vAlign w:val="center"/>
          </w:tcPr>
          <w:p w14:paraId="2FECD298">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22512E5D">
            <w:pPr>
              <w:jc w:val="center"/>
              <w:rPr>
                <w:rFonts w:hint="eastAsia" w:ascii="宋体" w:hAnsi="宋体" w:eastAsia="宋体" w:cs="宋体"/>
                <w:i w:val="0"/>
                <w:iCs w:val="0"/>
                <w:color w:val="000000"/>
                <w:sz w:val="22"/>
                <w:szCs w:val="22"/>
                <w:u w:val="none"/>
              </w:rPr>
            </w:pPr>
          </w:p>
        </w:tc>
        <w:tc>
          <w:tcPr>
            <w:tcW w:w="854" w:type="dxa"/>
            <w:vMerge w:val="continue"/>
            <w:shd w:val="clear" w:color="auto" w:fill="auto"/>
            <w:vAlign w:val="center"/>
          </w:tcPr>
          <w:p w14:paraId="2A875DB7">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0BFAFFD9">
            <w:pPr>
              <w:jc w:val="center"/>
              <w:rPr>
                <w:rFonts w:hint="eastAsia" w:ascii="宋体" w:hAnsi="宋体" w:eastAsia="宋体" w:cs="宋体"/>
                <w:i w:val="0"/>
                <w:iCs w:val="0"/>
                <w:color w:val="000000"/>
                <w:sz w:val="22"/>
                <w:szCs w:val="22"/>
                <w:u w:val="none"/>
              </w:rPr>
            </w:pPr>
          </w:p>
        </w:tc>
        <w:tc>
          <w:tcPr>
            <w:tcW w:w="1244" w:type="dxa"/>
            <w:vMerge w:val="continue"/>
            <w:shd w:val="clear" w:color="auto" w:fill="auto"/>
            <w:vAlign w:val="center"/>
          </w:tcPr>
          <w:p w14:paraId="6DA85AF1">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2D2518AC">
            <w:pPr>
              <w:jc w:val="center"/>
              <w:rPr>
                <w:rFonts w:hint="eastAsia" w:ascii="宋体" w:hAnsi="宋体" w:eastAsia="宋体" w:cs="宋体"/>
                <w:i w:val="0"/>
                <w:iCs w:val="0"/>
                <w:color w:val="000000"/>
                <w:sz w:val="22"/>
                <w:szCs w:val="22"/>
                <w:u w:val="none"/>
              </w:rPr>
            </w:pPr>
          </w:p>
        </w:tc>
        <w:tc>
          <w:tcPr>
            <w:tcW w:w="809" w:type="dxa"/>
            <w:shd w:val="clear" w:color="auto" w:fill="auto"/>
            <w:vAlign w:val="center"/>
          </w:tcPr>
          <w:p w14:paraId="29F8B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334" w:type="dxa"/>
            <w:shd w:val="clear" w:color="auto" w:fill="auto"/>
            <w:vAlign w:val="center"/>
          </w:tcPr>
          <w:p w14:paraId="19F0CF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项目是否属于公共财政支持范围，是否符合中央、地方事权支出责任划分原则；每发现一项不完备的，扣25%分值，扣完为止。</w:t>
            </w:r>
          </w:p>
        </w:tc>
        <w:tc>
          <w:tcPr>
            <w:tcW w:w="1166" w:type="dxa"/>
            <w:shd w:val="clear" w:color="auto" w:fill="auto"/>
            <w:vAlign w:val="center"/>
          </w:tcPr>
          <w:p w14:paraId="19FDC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84" w:type="dxa"/>
            <w:shd w:val="clear" w:color="auto" w:fill="auto"/>
            <w:vAlign w:val="center"/>
          </w:tcPr>
          <w:p w14:paraId="2112A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550" w:type="dxa"/>
            <w:vMerge w:val="continue"/>
            <w:shd w:val="clear" w:color="auto" w:fill="auto"/>
            <w:vAlign w:val="center"/>
          </w:tcPr>
          <w:p w14:paraId="449C4C6C">
            <w:pPr>
              <w:jc w:val="center"/>
              <w:rPr>
                <w:rFonts w:hint="eastAsia" w:ascii="宋体" w:hAnsi="宋体" w:eastAsia="宋体" w:cs="宋体"/>
                <w:i w:val="0"/>
                <w:iCs w:val="0"/>
                <w:color w:val="000000"/>
                <w:sz w:val="22"/>
                <w:szCs w:val="22"/>
                <w:u w:val="none"/>
              </w:rPr>
            </w:pPr>
          </w:p>
        </w:tc>
      </w:tr>
      <w:tr w14:paraId="50E9F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4" w:type="dxa"/>
            <w:vMerge w:val="continue"/>
            <w:shd w:val="clear" w:color="auto" w:fill="auto"/>
            <w:vAlign w:val="center"/>
          </w:tcPr>
          <w:p w14:paraId="712B227C">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005E132D">
            <w:pPr>
              <w:jc w:val="center"/>
              <w:rPr>
                <w:rFonts w:hint="eastAsia" w:ascii="宋体" w:hAnsi="宋体" w:eastAsia="宋体" w:cs="宋体"/>
                <w:i w:val="0"/>
                <w:iCs w:val="0"/>
                <w:color w:val="000000"/>
                <w:sz w:val="22"/>
                <w:szCs w:val="22"/>
                <w:u w:val="none"/>
              </w:rPr>
            </w:pPr>
          </w:p>
        </w:tc>
        <w:tc>
          <w:tcPr>
            <w:tcW w:w="854" w:type="dxa"/>
            <w:vMerge w:val="continue"/>
            <w:shd w:val="clear" w:color="auto" w:fill="auto"/>
            <w:vAlign w:val="center"/>
          </w:tcPr>
          <w:p w14:paraId="2F45ACF7">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67656D2E">
            <w:pPr>
              <w:jc w:val="center"/>
              <w:rPr>
                <w:rFonts w:hint="eastAsia" w:ascii="宋体" w:hAnsi="宋体" w:eastAsia="宋体" w:cs="宋体"/>
                <w:i w:val="0"/>
                <w:iCs w:val="0"/>
                <w:color w:val="000000"/>
                <w:sz w:val="22"/>
                <w:szCs w:val="22"/>
                <w:u w:val="none"/>
              </w:rPr>
            </w:pPr>
          </w:p>
        </w:tc>
        <w:tc>
          <w:tcPr>
            <w:tcW w:w="1244" w:type="dxa"/>
            <w:vMerge w:val="continue"/>
            <w:shd w:val="clear" w:color="auto" w:fill="auto"/>
            <w:vAlign w:val="center"/>
          </w:tcPr>
          <w:p w14:paraId="715F6F34">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13E07993">
            <w:pPr>
              <w:jc w:val="center"/>
              <w:rPr>
                <w:rFonts w:hint="eastAsia" w:ascii="宋体" w:hAnsi="宋体" w:eastAsia="宋体" w:cs="宋体"/>
                <w:i w:val="0"/>
                <w:iCs w:val="0"/>
                <w:color w:val="000000"/>
                <w:sz w:val="22"/>
                <w:szCs w:val="22"/>
                <w:u w:val="none"/>
              </w:rPr>
            </w:pPr>
          </w:p>
        </w:tc>
        <w:tc>
          <w:tcPr>
            <w:tcW w:w="809" w:type="dxa"/>
            <w:shd w:val="clear" w:color="auto" w:fill="auto"/>
            <w:vAlign w:val="center"/>
          </w:tcPr>
          <w:p w14:paraId="58CB7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334" w:type="dxa"/>
            <w:shd w:val="clear" w:color="auto" w:fill="auto"/>
            <w:vAlign w:val="center"/>
          </w:tcPr>
          <w:p w14:paraId="779FDF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项目是否未与相关部门同类项目或部门内部相关项目重复。每发现一项不完备的，扣25%分值，扣完为止。</w:t>
            </w:r>
          </w:p>
        </w:tc>
        <w:tc>
          <w:tcPr>
            <w:tcW w:w="1166" w:type="dxa"/>
            <w:shd w:val="clear" w:color="auto" w:fill="auto"/>
            <w:vAlign w:val="center"/>
          </w:tcPr>
          <w:p w14:paraId="4898C57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是</w:t>
            </w:r>
          </w:p>
        </w:tc>
        <w:tc>
          <w:tcPr>
            <w:tcW w:w="984" w:type="dxa"/>
            <w:shd w:val="clear" w:color="auto" w:fill="auto"/>
            <w:vAlign w:val="center"/>
          </w:tcPr>
          <w:p w14:paraId="7BC79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550" w:type="dxa"/>
            <w:vMerge w:val="continue"/>
            <w:shd w:val="clear" w:color="auto" w:fill="auto"/>
            <w:vAlign w:val="center"/>
          </w:tcPr>
          <w:p w14:paraId="00F2F523">
            <w:pPr>
              <w:jc w:val="center"/>
              <w:rPr>
                <w:rFonts w:hint="eastAsia" w:ascii="宋体" w:hAnsi="宋体" w:eastAsia="宋体" w:cs="宋体"/>
                <w:i w:val="0"/>
                <w:iCs w:val="0"/>
                <w:color w:val="000000"/>
                <w:sz w:val="22"/>
                <w:szCs w:val="22"/>
                <w:u w:val="none"/>
              </w:rPr>
            </w:pPr>
          </w:p>
        </w:tc>
      </w:tr>
      <w:tr w14:paraId="39D7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4" w:type="dxa"/>
            <w:vMerge w:val="continue"/>
            <w:shd w:val="clear" w:color="auto" w:fill="auto"/>
            <w:vAlign w:val="center"/>
          </w:tcPr>
          <w:p w14:paraId="520361D3">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5E0A1677">
            <w:pPr>
              <w:jc w:val="center"/>
              <w:rPr>
                <w:rFonts w:hint="eastAsia" w:ascii="宋体" w:hAnsi="宋体" w:eastAsia="宋体" w:cs="宋体"/>
                <w:i w:val="0"/>
                <w:iCs w:val="0"/>
                <w:color w:val="000000"/>
                <w:sz w:val="22"/>
                <w:szCs w:val="22"/>
                <w:u w:val="none"/>
              </w:rPr>
            </w:pPr>
          </w:p>
        </w:tc>
        <w:tc>
          <w:tcPr>
            <w:tcW w:w="854" w:type="dxa"/>
            <w:vMerge w:val="continue"/>
            <w:shd w:val="clear" w:color="auto" w:fill="auto"/>
            <w:vAlign w:val="center"/>
          </w:tcPr>
          <w:p w14:paraId="24C1C73B">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10B22352">
            <w:pPr>
              <w:jc w:val="center"/>
              <w:rPr>
                <w:rFonts w:hint="eastAsia" w:ascii="宋体" w:hAnsi="宋体" w:eastAsia="宋体" w:cs="宋体"/>
                <w:i w:val="0"/>
                <w:iCs w:val="0"/>
                <w:color w:val="000000"/>
                <w:sz w:val="22"/>
                <w:szCs w:val="22"/>
                <w:u w:val="none"/>
              </w:rPr>
            </w:pPr>
          </w:p>
        </w:tc>
        <w:tc>
          <w:tcPr>
            <w:tcW w:w="1244" w:type="dxa"/>
            <w:vMerge w:val="restart"/>
            <w:shd w:val="clear" w:color="auto" w:fill="auto"/>
            <w:vAlign w:val="center"/>
          </w:tcPr>
          <w:p w14:paraId="0F2AB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立项程序规范性</w:t>
            </w:r>
          </w:p>
        </w:tc>
        <w:tc>
          <w:tcPr>
            <w:tcW w:w="660" w:type="dxa"/>
            <w:vMerge w:val="restart"/>
            <w:shd w:val="clear" w:color="auto" w:fill="auto"/>
            <w:vAlign w:val="center"/>
          </w:tcPr>
          <w:p w14:paraId="20CEE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09" w:type="dxa"/>
            <w:shd w:val="clear" w:color="auto" w:fill="auto"/>
            <w:vAlign w:val="center"/>
          </w:tcPr>
          <w:p w14:paraId="56FB5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34" w:type="dxa"/>
            <w:shd w:val="clear" w:color="auto" w:fill="auto"/>
            <w:vAlign w:val="center"/>
          </w:tcPr>
          <w:p w14:paraId="646F16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项目是否按照规定的程序申请设立；每发现一项不完备的，扣25%分值，扣完为止。</w:t>
            </w:r>
          </w:p>
        </w:tc>
        <w:tc>
          <w:tcPr>
            <w:tcW w:w="1166" w:type="dxa"/>
            <w:shd w:val="clear" w:color="auto" w:fill="auto"/>
            <w:vAlign w:val="center"/>
          </w:tcPr>
          <w:p w14:paraId="5B3F7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84" w:type="dxa"/>
            <w:shd w:val="clear" w:color="auto" w:fill="auto"/>
            <w:vAlign w:val="center"/>
          </w:tcPr>
          <w:p w14:paraId="1F07A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0" w:type="dxa"/>
            <w:vMerge w:val="continue"/>
            <w:shd w:val="clear" w:color="auto" w:fill="auto"/>
            <w:vAlign w:val="center"/>
          </w:tcPr>
          <w:p w14:paraId="6B24951B">
            <w:pPr>
              <w:jc w:val="center"/>
              <w:rPr>
                <w:rFonts w:hint="eastAsia" w:ascii="宋体" w:hAnsi="宋体" w:eastAsia="宋体" w:cs="宋体"/>
                <w:i w:val="0"/>
                <w:iCs w:val="0"/>
                <w:color w:val="000000"/>
                <w:sz w:val="22"/>
                <w:szCs w:val="22"/>
                <w:u w:val="none"/>
              </w:rPr>
            </w:pPr>
          </w:p>
        </w:tc>
      </w:tr>
      <w:tr w14:paraId="2A5B9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4" w:type="dxa"/>
            <w:vMerge w:val="continue"/>
            <w:shd w:val="clear" w:color="auto" w:fill="auto"/>
            <w:vAlign w:val="center"/>
          </w:tcPr>
          <w:p w14:paraId="51B7EA19">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785F942C">
            <w:pPr>
              <w:jc w:val="center"/>
              <w:rPr>
                <w:rFonts w:hint="eastAsia" w:ascii="宋体" w:hAnsi="宋体" w:eastAsia="宋体" w:cs="宋体"/>
                <w:i w:val="0"/>
                <w:iCs w:val="0"/>
                <w:color w:val="000000"/>
                <w:sz w:val="22"/>
                <w:szCs w:val="22"/>
                <w:u w:val="none"/>
              </w:rPr>
            </w:pPr>
          </w:p>
        </w:tc>
        <w:tc>
          <w:tcPr>
            <w:tcW w:w="854" w:type="dxa"/>
            <w:vMerge w:val="continue"/>
            <w:shd w:val="clear" w:color="auto" w:fill="auto"/>
            <w:vAlign w:val="center"/>
          </w:tcPr>
          <w:p w14:paraId="06ABF3E0">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5DDE9E72">
            <w:pPr>
              <w:jc w:val="center"/>
              <w:rPr>
                <w:rFonts w:hint="eastAsia" w:ascii="宋体" w:hAnsi="宋体" w:eastAsia="宋体" w:cs="宋体"/>
                <w:i w:val="0"/>
                <w:iCs w:val="0"/>
                <w:color w:val="000000"/>
                <w:sz w:val="22"/>
                <w:szCs w:val="22"/>
                <w:u w:val="none"/>
              </w:rPr>
            </w:pPr>
          </w:p>
        </w:tc>
        <w:tc>
          <w:tcPr>
            <w:tcW w:w="1244" w:type="dxa"/>
            <w:vMerge w:val="continue"/>
            <w:shd w:val="clear" w:color="auto" w:fill="auto"/>
            <w:vAlign w:val="center"/>
          </w:tcPr>
          <w:p w14:paraId="5A35C646">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59EFE6FC">
            <w:pPr>
              <w:jc w:val="center"/>
              <w:rPr>
                <w:rFonts w:hint="eastAsia" w:ascii="宋体" w:hAnsi="宋体" w:eastAsia="宋体" w:cs="宋体"/>
                <w:i w:val="0"/>
                <w:iCs w:val="0"/>
                <w:color w:val="000000"/>
                <w:sz w:val="22"/>
                <w:szCs w:val="22"/>
                <w:u w:val="none"/>
              </w:rPr>
            </w:pPr>
          </w:p>
        </w:tc>
        <w:tc>
          <w:tcPr>
            <w:tcW w:w="809" w:type="dxa"/>
            <w:shd w:val="clear" w:color="auto" w:fill="auto"/>
            <w:vAlign w:val="center"/>
          </w:tcPr>
          <w:p w14:paraId="1F23B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34" w:type="dxa"/>
            <w:shd w:val="clear" w:color="auto" w:fill="auto"/>
            <w:vAlign w:val="center"/>
          </w:tcPr>
          <w:p w14:paraId="1744C8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审批文件、材料是否符合相关要求；每发现一项不完备的，扣25%分值，扣完为止。</w:t>
            </w:r>
          </w:p>
        </w:tc>
        <w:tc>
          <w:tcPr>
            <w:tcW w:w="1166" w:type="dxa"/>
            <w:shd w:val="clear" w:color="auto" w:fill="auto"/>
            <w:vAlign w:val="center"/>
          </w:tcPr>
          <w:p w14:paraId="56AF675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是</w:t>
            </w:r>
          </w:p>
        </w:tc>
        <w:tc>
          <w:tcPr>
            <w:tcW w:w="984" w:type="dxa"/>
            <w:shd w:val="clear" w:color="auto" w:fill="auto"/>
            <w:vAlign w:val="center"/>
          </w:tcPr>
          <w:p w14:paraId="6B6CF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0" w:type="dxa"/>
            <w:vMerge w:val="continue"/>
            <w:shd w:val="clear" w:color="auto" w:fill="auto"/>
            <w:vAlign w:val="center"/>
          </w:tcPr>
          <w:p w14:paraId="07763713">
            <w:pPr>
              <w:jc w:val="center"/>
              <w:rPr>
                <w:rFonts w:hint="eastAsia" w:ascii="宋体" w:hAnsi="宋体" w:eastAsia="宋体" w:cs="宋体"/>
                <w:i w:val="0"/>
                <w:iCs w:val="0"/>
                <w:color w:val="000000"/>
                <w:sz w:val="22"/>
                <w:szCs w:val="22"/>
                <w:u w:val="none"/>
              </w:rPr>
            </w:pPr>
          </w:p>
        </w:tc>
      </w:tr>
      <w:tr w14:paraId="15A2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4" w:type="dxa"/>
            <w:vMerge w:val="continue"/>
            <w:shd w:val="clear" w:color="auto" w:fill="auto"/>
            <w:vAlign w:val="center"/>
          </w:tcPr>
          <w:p w14:paraId="54508F19">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65C59A6B">
            <w:pPr>
              <w:jc w:val="center"/>
              <w:rPr>
                <w:rFonts w:hint="eastAsia" w:ascii="宋体" w:hAnsi="宋体" w:eastAsia="宋体" w:cs="宋体"/>
                <w:i w:val="0"/>
                <w:iCs w:val="0"/>
                <w:color w:val="000000"/>
                <w:sz w:val="22"/>
                <w:szCs w:val="22"/>
                <w:u w:val="none"/>
              </w:rPr>
            </w:pPr>
          </w:p>
        </w:tc>
        <w:tc>
          <w:tcPr>
            <w:tcW w:w="854" w:type="dxa"/>
            <w:vMerge w:val="continue"/>
            <w:shd w:val="clear" w:color="auto" w:fill="auto"/>
            <w:vAlign w:val="center"/>
          </w:tcPr>
          <w:p w14:paraId="2BE4C61A">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0D85B94E">
            <w:pPr>
              <w:jc w:val="center"/>
              <w:rPr>
                <w:rFonts w:hint="eastAsia" w:ascii="宋体" w:hAnsi="宋体" w:eastAsia="宋体" w:cs="宋体"/>
                <w:i w:val="0"/>
                <w:iCs w:val="0"/>
                <w:color w:val="000000"/>
                <w:sz w:val="22"/>
                <w:szCs w:val="22"/>
                <w:u w:val="none"/>
              </w:rPr>
            </w:pPr>
          </w:p>
        </w:tc>
        <w:tc>
          <w:tcPr>
            <w:tcW w:w="1244" w:type="dxa"/>
            <w:vMerge w:val="continue"/>
            <w:shd w:val="clear" w:color="auto" w:fill="auto"/>
            <w:vAlign w:val="center"/>
          </w:tcPr>
          <w:p w14:paraId="55460970">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24F1A883">
            <w:pPr>
              <w:jc w:val="center"/>
              <w:rPr>
                <w:rFonts w:hint="eastAsia" w:ascii="宋体" w:hAnsi="宋体" w:eastAsia="宋体" w:cs="宋体"/>
                <w:i w:val="0"/>
                <w:iCs w:val="0"/>
                <w:color w:val="000000"/>
                <w:sz w:val="22"/>
                <w:szCs w:val="22"/>
                <w:u w:val="none"/>
              </w:rPr>
            </w:pPr>
          </w:p>
        </w:tc>
        <w:tc>
          <w:tcPr>
            <w:tcW w:w="809" w:type="dxa"/>
            <w:shd w:val="clear" w:color="auto" w:fill="auto"/>
            <w:vAlign w:val="center"/>
          </w:tcPr>
          <w:p w14:paraId="38CA2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34" w:type="dxa"/>
            <w:shd w:val="clear" w:color="auto" w:fill="auto"/>
            <w:vAlign w:val="center"/>
          </w:tcPr>
          <w:p w14:paraId="41F40D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事前是否已经过必要的可行性研究、专家论证、风险评估、绩效评估、集体决策。每发现一项不完备的，扣25%分值，扣完为止。</w:t>
            </w:r>
          </w:p>
        </w:tc>
        <w:tc>
          <w:tcPr>
            <w:tcW w:w="1166" w:type="dxa"/>
            <w:shd w:val="clear" w:color="auto" w:fill="auto"/>
            <w:vAlign w:val="center"/>
          </w:tcPr>
          <w:p w14:paraId="12D6F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84" w:type="dxa"/>
            <w:shd w:val="clear" w:color="auto" w:fill="auto"/>
            <w:vAlign w:val="center"/>
          </w:tcPr>
          <w:p w14:paraId="7E5AD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0" w:type="dxa"/>
            <w:vMerge w:val="continue"/>
            <w:shd w:val="clear" w:color="auto" w:fill="auto"/>
            <w:vAlign w:val="center"/>
          </w:tcPr>
          <w:p w14:paraId="2865584C">
            <w:pPr>
              <w:jc w:val="center"/>
              <w:rPr>
                <w:rFonts w:hint="eastAsia" w:ascii="宋体" w:hAnsi="宋体" w:eastAsia="宋体" w:cs="宋体"/>
                <w:i w:val="0"/>
                <w:iCs w:val="0"/>
                <w:color w:val="000000"/>
                <w:sz w:val="22"/>
                <w:szCs w:val="22"/>
                <w:u w:val="none"/>
              </w:rPr>
            </w:pPr>
          </w:p>
        </w:tc>
      </w:tr>
      <w:tr w14:paraId="7D94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854" w:type="dxa"/>
            <w:vMerge w:val="continue"/>
            <w:shd w:val="clear" w:color="auto" w:fill="auto"/>
            <w:vAlign w:val="center"/>
          </w:tcPr>
          <w:p w14:paraId="37E09FFF">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13C0EC68">
            <w:pPr>
              <w:jc w:val="center"/>
              <w:rPr>
                <w:rFonts w:hint="eastAsia" w:ascii="宋体" w:hAnsi="宋体" w:eastAsia="宋体" w:cs="宋体"/>
                <w:i w:val="0"/>
                <w:iCs w:val="0"/>
                <w:color w:val="000000"/>
                <w:sz w:val="22"/>
                <w:szCs w:val="22"/>
                <w:u w:val="none"/>
              </w:rPr>
            </w:pPr>
          </w:p>
        </w:tc>
        <w:tc>
          <w:tcPr>
            <w:tcW w:w="854" w:type="dxa"/>
            <w:vMerge w:val="restart"/>
            <w:shd w:val="clear" w:color="auto" w:fill="auto"/>
            <w:vAlign w:val="center"/>
          </w:tcPr>
          <w:p w14:paraId="05E43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c>
          <w:tcPr>
            <w:tcW w:w="660" w:type="dxa"/>
            <w:vMerge w:val="restart"/>
            <w:shd w:val="clear" w:color="auto" w:fill="auto"/>
            <w:vAlign w:val="center"/>
          </w:tcPr>
          <w:p w14:paraId="377BB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4" w:type="dxa"/>
            <w:vMerge w:val="restart"/>
            <w:shd w:val="clear" w:color="auto" w:fill="auto"/>
            <w:vAlign w:val="center"/>
          </w:tcPr>
          <w:p w14:paraId="6D60F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绩效目标合理性</w:t>
            </w:r>
          </w:p>
        </w:tc>
        <w:tc>
          <w:tcPr>
            <w:tcW w:w="660" w:type="dxa"/>
            <w:vMerge w:val="restart"/>
            <w:shd w:val="clear" w:color="auto" w:fill="auto"/>
            <w:vAlign w:val="center"/>
          </w:tcPr>
          <w:p w14:paraId="08863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09" w:type="dxa"/>
            <w:shd w:val="clear" w:color="auto" w:fill="auto"/>
            <w:vAlign w:val="center"/>
          </w:tcPr>
          <w:p w14:paraId="198C0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34" w:type="dxa"/>
            <w:shd w:val="clear" w:color="auto" w:fill="auto"/>
            <w:vAlign w:val="center"/>
          </w:tcPr>
          <w:p w14:paraId="6FBF23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项目是否有绩效目标；每发现一项不完备的，扣25%分值，扣完为止。</w:t>
            </w:r>
          </w:p>
        </w:tc>
        <w:tc>
          <w:tcPr>
            <w:tcW w:w="1166" w:type="dxa"/>
            <w:shd w:val="clear" w:color="auto" w:fill="auto"/>
            <w:vAlign w:val="center"/>
          </w:tcPr>
          <w:p w14:paraId="35626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84" w:type="dxa"/>
            <w:shd w:val="clear" w:color="auto" w:fill="auto"/>
            <w:vAlign w:val="center"/>
          </w:tcPr>
          <w:p w14:paraId="4A780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1550" w:type="dxa"/>
            <w:vMerge w:val="continue"/>
            <w:shd w:val="clear" w:color="auto" w:fill="auto"/>
            <w:vAlign w:val="center"/>
          </w:tcPr>
          <w:p w14:paraId="5E94A799">
            <w:pPr>
              <w:jc w:val="center"/>
              <w:rPr>
                <w:rFonts w:hint="eastAsia" w:ascii="宋体" w:hAnsi="宋体" w:eastAsia="宋体" w:cs="宋体"/>
                <w:i w:val="0"/>
                <w:iCs w:val="0"/>
                <w:color w:val="000000"/>
                <w:sz w:val="22"/>
                <w:szCs w:val="22"/>
                <w:u w:val="none"/>
              </w:rPr>
            </w:pPr>
          </w:p>
        </w:tc>
      </w:tr>
      <w:tr w14:paraId="34933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4" w:type="dxa"/>
            <w:vMerge w:val="continue"/>
            <w:shd w:val="clear" w:color="auto" w:fill="auto"/>
            <w:vAlign w:val="center"/>
          </w:tcPr>
          <w:p w14:paraId="7D115F83">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24CA94FE">
            <w:pPr>
              <w:jc w:val="center"/>
              <w:rPr>
                <w:rFonts w:hint="eastAsia" w:ascii="宋体" w:hAnsi="宋体" w:eastAsia="宋体" w:cs="宋体"/>
                <w:i w:val="0"/>
                <w:iCs w:val="0"/>
                <w:color w:val="000000"/>
                <w:sz w:val="22"/>
                <w:szCs w:val="22"/>
                <w:u w:val="none"/>
              </w:rPr>
            </w:pPr>
          </w:p>
        </w:tc>
        <w:tc>
          <w:tcPr>
            <w:tcW w:w="854" w:type="dxa"/>
            <w:vMerge w:val="continue"/>
            <w:shd w:val="clear" w:color="auto" w:fill="auto"/>
            <w:vAlign w:val="center"/>
          </w:tcPr>
          <w:p w14:paraId="056BE152">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2A1898D3">
            <w:pPr>
              <w:jc w:val="center"/>
              <w:rPr>
                <w:rFonts w:hint="eastAsia" w:ascii="宋体" w:hAnsi="宋体" w:eastAsia="宋体" w:cs="宋体"/>
                <w:i w:val="0"/>
                <w:iCs w:val="0"/>
                <w:color w:val="000000"/>
                <w:sz w:val="22"/>
                <w:szCs w:val="22"/>
                <w:u w:val="none"/>
              </w:rPr>
            </w:pPr>
          </w:p>
        </w:tc>
        <w:tc>
          <w:tcPr>
            <w:tcW w:w="1244" w:type="dxa"/>
            <w:vMerge w:val="continue"/>
            <w:shd w:val="clear" w:color="auto" w:fill="auto"/>
            <w:vAlign w:val="center"/>
          </w:tcPr>
          <w:p w14:paraId="1A259999">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21E513E4">
            <w:pPr>
              <w:jc w:val="center"/>
              <w:rPr>
                <w:rFonts w:hint="eastAsia" w:ascii="宋体" w:hAnsi="宋体" w:eastAsia="宋体" w:cs="宋体"/>
                <w:i w:val="0"/>
                <w:iCs w:val="0"/>
                <w:color w:val="000000"/>
                <w:sz w:val="22"/>
                <w:szCs w:val="22"/>
                <w:u w:val="none"/>
              </w:rPr>
            </w:pPr>
          </w:p>
        </w:tc>
        <w:tc>
          <w:tcPr>
            <w:tcW w:w="809" w:type="dxa"/>
            <w:shd w:val="clear" w:color="auto" w:fill="auto"/>
            <w:vAlign w:val="center"/>
          </w:tcPr>
          <w:p w14:paraId="68B2C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34" w:type="dxa"/>
            <w:shd w:val="clear" w:color="auto" w:fill="auto"/>
            <w:vAlign w:val="center"/>
          </w:tcPr>
          <w:p w14:paraId="65435C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项目绩效目标与实际工作内容是否具有相关性；每发现一项不完备的，扣25%分值，扣完为止。</w:t>
            </w:r>
          </w:p>
        </w:tc>
        <w:tc>
          <w:tcPr>
            <w:tcW w:w="1166" w:type="dxa"/>
            <w:shd w:val="clear" w:color="auto" w:fill="auto"/>
            <w:vAlign w:val="center"/>
          </w:tcPr>
          <w:p w14:paraId="4A51A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84" w:type="dxa"/>
            <w:shd w:val="clear" w:color="auto" w:fill="auto"/>
            <w:vAlign w:val="center"/>
          </w:tcPr>
          <w:p w14:paraId="74015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1550" w:type="dxa"/>
            <w:vMerge w:val="continue"/>
            <w:shd w:val="clear" w:color="auto" w:fill="auto"/>
            <w:vAlign w:val="center"/>
          </w:tcPr>
          <w:p w14:paraId="7F9AB135">
            <w:pPr>
              <w:jc w:val="center"/>
              <w:rPr>
                <w:rFonts w:hint="eastAsia" w:ascii="宋体" w:hAnsi="宋体" w:eastAsia="宋体" w:cs="宋体"/>
                <w:i w:val="0"/>
                <w:iCs w:val="0"/>
                <w:color w:val="000000"/>
                <w:sz w:val="22"/>
                <w:szCs w:val="22"/>
                <w:u w:val="none"/>
              </w:rPr>
            </w:pPr>
          </w:p>
        </w:tc>
      </w:tr>
      <w:tr w14:paraId="75A2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854" w:type="dxa"/>
            <w:vMerge w:val="continue"/>
            <w:shd w:val="clear" w:color="auto" w:fill="auto"/>
            <w:vAlign w:val="center"/>
          </w:tcPr>
          <w:p w14:paraId="60F69A07">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7288F9E6">
            <w:pPr>
              <w:jc w:val="center"/>
              <w:rPr>
                <w:rFonts w:hint="eastAsia" w:ascii="宋体" w:hAnsi="宋体" w:eastAsia="宋体" w:cs="宋体"/>
                <w:i w:val="0"/>
                <w:iCs w:val="0"/>
                <w:color w:val="000000"/>
                <w:sz w:val="22"/>
                <w:szCs w:val="22"/>
                <w:u w:val="none"/>
              </w:rPr>
            </w:pPr>
          </w:p>
        </w:tc>
        <w:tc>
          <w:tcPr>
            <w:tcW w:w="854" w:type="dxa"/>
            <w:vMerge w:val="continue"/>
            <w:shd w:val="clear" w:color="auto" w:fill="auto"/>
            <w:vAlign w:val="center"/>
          </w:tcPr>
          <w:p w14:paraId="2D3FAE54">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17F9C712">
            <w:pPr>
              <w:jc w:val="center"/>
              <w:rPr>
                <w:rFonts w:hint="eastAsia" w:ascii="宋体" w:hAnsi="宋体" w:eastAsia="宋体" w:cs="宋体"/>
                <w:i w:val="0"/>
                <w:iCs w:val="0"/>
                <w:color w:val="000000"/>
                <w:sz w:val="22"/>
                <w:szCs w:val="22"/>
                <w:u w:val="none"/>
              </w:rPr>
            </w:pPr>
          </w:p>
        </w:tc>
        <w:tc>
          <w:tcPr>
            <w:tcW w:w="1244" w:type="dxa"/>
            <w:vMerge w:val="continue"/>
            <w:shd w:val="clear" w:color="auto" w:fill="auto"/>
            <w:vAlign w:val="center"/>
          </w:tcPr>
          <w:p w14:paraId="37D9A136">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373172C9">
            <w:pPr>
              <w:jc w:val="center"/>
              <w:rPr>
                <w:rFonts w:hint="eastAsia" w:ascii="宋体" w:hAnsi="宋体" w:eastAsia="宋体" w:cs="宋体"/>
                <w:i w:val="0"/>
                <w:iCs w:val="0"/>
                <w:color w:val="000000"/>
                <w:sz w:val="22"/>
                <w:szCs w:val="22"/>
                <w:u w:val="none"/>
              </w:rPr>
            </w:pPr>
          </w:p>
        </w:tc>
        <w:tc>
          <w:tcPr>
            <w:tcW w:w="809" w:type="dxa"/>
            <w:shd w:val="clear" w:color="auto" w:fill="auto"/>
            <w:vAlign w:val="center"/>
          </w:tcPr>
          <w:p w14:paraId="72AC4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34" w:type="dxa"/>
            <w:shd w:val="clear" w:color="auto" w:fill="auto"/>
            <w:vAlign w:val="center"/>
          </w:tcPr>
          <w:p w14:paraId="37DFDC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项目预期产出效益和效果是否符合正常的业绩水平；每发现一项不完备的，扣25%分值，扣完为止。</w:t>
            </w:r>
          </w:p>
        </w:tc>
        <w:tc>
          <w:tcPr>
            <w:tcW w:w="1166" w:type="dxa"/>
            <w:shd w:val="clear" w:color="auto" w:fill="auto"/>
            <w:vAlign w:val="center"/>
          </w:tcPr>
          <w:p w14:paraId="51052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84" w:type="dxa"/>
            <w:shd w:val="clear" w:color="auto" w:fill="auto"/>
            <w:vAlign w:val="center"/>
          </w:tcPr>
          <w:p w14:paraId="3E9AD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1550" w:type="dxa"/>
            <w:vMerge w:val="continue"/>
            <w:shd w:val="clear" w:color="auto" w:fill="auto"/>
            <w:vAlign w:val="center"/>
          </w:tcPr>
          <w:p w14:paraId="51638B6A">
            <w:pPr>
              <w:jc w:val="center"/>
              <w:rPr>
                <w:rFonts w:hint="eastAsia" w:ascii="宋体" w:hAnsi="宋体" w:eastAsia="宋体" w:cs="宋体"/>
                <w:i w:val="0"/>
                <w:iCs w:val="0"/>
                <w:color w:val="000000"/>
                <w:sz w:val="22"/>
                <w:szCs w:val="22"/>
                <w:u w:val="none"/>
              </w:rPr>
            </w:pPr>
          </w:p>
        </w:tc>
      </w:tr>
      <w:tr w14:paraId="11AD8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4" w:type="dxa"/>
            <w:vMerge w:val="continue"/>
            <w:shd w:val="clear" w:color="auto" w:fill="auto"/>
            <w:vAlign w:val="center"/>
          </w:tcPr>
          <w:p w14:paraId="4ACEF219">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3E48D7F3">
            <w:pPr>
              <w:jc w:val="center"/>
              <w:rPr>
                <w:rFonts w:hint="eastAsia" w:ascii="宋体" w:hAnsi="宋体" w:eastAsia="宋体" w:cs="宋体"/>
                <w:i w:val="0"/>
                <w:iCs w:val="0"/>
                <w:color w:val="000000"/>
                <w:sz w:val="22"/>
                <w:szCs w:val="22"/>
                <w:u w:val="none"/>
              </w:rPr>
            </w:pPr>
          </w:p>
        </w:tc>
        <w:tc>
          <w:tcPr>
            <w:tcW w:w="854" w:type="dxa"/>
            <w:vMerge w:val="continue"/>
            <w:shd w:val="clear" w:color="auto" w:fill="auto"/>
            <w:vAlign w:val="center"/>
          </w:tcPr>
          <w:p w14:paraId="7850B6D7">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502E2F7A">
            <w:pPr>
              <w:jc w:val="center"/>
              <w:rPr>
                <w:rFonts w:hint="eastAsia" w:ascii="宋体" w:hAnsi="宋体" w:eastAsia="宋体" w:cs="宋体"/>
                <w:i w:val="0"/>
                <w:iCs w:val="0"/>
                <w:color w:val="000000"/>
                <w:sz w:val="22"/>
                <w:szCs w:val="22"/>
                <w:u w:val="none"/>
              </w:rPr>
            </w:pPr>
          </w:p>
        </w:tc>
        <w:tc>
          <w:tcPr>
            <w:tcW w:w="1244" w:type="dxa"/>
            <w:vMerge w:val="continue"/>
            <w:shd w:val="clear" w:color="auto" w:fill="auto"/>
            <w:vAlign w:val="center"/>
          </w:tcPr>
          <w:p w14:paraId="4DBB717B">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1C9E55A7">
            <w:pPr>
              <w:jc w:val="center"/>
              <w:rPr>
                <w:rFonts w:hint="eastAsia" w:ascii="宋体" w:hAnsi="宋体" w:eastAsia="宋体" w:cs="宋体"/>
                <w:i w:val="0"/>
                <w:iCs w:val="0"/>
                <w:color w:val="000000"/>
                <w:sz w:val="22"/>
                <w:szCs w:val="22"/>
                <w:u w:val="none"/>
              </w:rPr>
            </w:pPr>
          </w:p>
        </w:tc>
        <w:tc>
          <w:tcPr>
            <w:tcW w:w="809" w:type="dxa"/>
            <w:shd w:val="clear" w:color="auto" w:fill="auto"/>
            <w:vAlign w:val="center"/>
          </w:tcPr>
          <w:p w14:paraId="16CC9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34" w:type="dxa"/>
            <w:shd w:val="clear" w:color="auto" w:fill="auto"/>
            <w:vAlign w:val="center"/>
          </w:tcPr>
          <w:p w14:paraId="741A43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是否与预算确定的项目投资额或资金量相匹配。每发现一项不完备的，扣25%分值，扣完为止。</w:t>
            </w:r>
          </w:p>
        </w:tc>
        <w:tc>
          <w:tcPr>
            <w:tcW w:w="1166" w:type="dxa"/>
            <w:shd w:val="clear" w:color="auto" w:fill="auto"/>
            <w:vAlign w:val="center"/>
          </w:tcPr>
          <w:p w14:paraId="4332D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84" w:type="dxa"/>
            <w:shd w:val="clear" w:color="auto" w:fill="auto"/>
            <w:vAlign w:val="center"/>
          </w:tcPr>
          <w:p w14:paraId="2F57C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1550" w:type="dxa"/>
            <w:vMerge w:val="continue"/>
            <w:shd w:val="clear" w:color="auto" w:fill="auto"/>
            <w:vAlign w:val="center"/>
          </w:tcPr>
          <w:p w14:paraId="77B31832">
            <w:pPr>
              <w:jc w:val="center"/>
              <w:rPr>
                <w:rFonts w:hint="eastAsia" w:ascii="宋体" w:hAnsi="宋体" w:eastAsia="宋体" w:cs="宋体"/>
                <w:i w:val="0"/>
                <w:iCs w:val="0"/>
                <w:color w:val="000000"/>
                <w:sz w:val="22"/>
                <w:szCs w:val="22"/>
                <w:u w:val="none"/>
              </w:rPr>
            </w:pPr>
          </w:p>
        </w:tc>
      </w:tr>
      <w:tr w14:paraId="0783F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4" w:type="dxa"/>
            <w:vMerge w:val="continue"/>
            <w:shd w:val="clear" w:color="auto" w:fill="auto"/>
            <w:vAlign w:val="center"/>
          </w:tcPr>
          <w:p w14:paraId="0C56D519">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1ACD2E29">
            <w:pPr>
              <w:jc w:val="center"/>
              <w:rPr>
                <w:rFonts w:hint="eastAsia" w:ascii="宋体" w:hAnsi="宋体" w:eastAsia="宋体" w:cs="宋体"/>
                <w:i w:val="0"/>
                <w:iCs w:val="0"/>
                <w:color w:val="000000"/>
                <w:sz w:val="22"/>
                <w:szCs w:val="22"/>
                <w:u w:val="none"/>
              </w:rPr>
            </w:pPr>
          </w:p>
        </w:tc>
        <w:tc>
          <w:tcPr>
            <w:tcW w:w="854" w:type="dxa"/>
            <w:vMerge w:val="continue"/>
            <w:shd w:val="clear" w:color="auto" w:fill="auto"/>
            <w:vAlign w:val="center"/>
          </w:tcPr>
          <w:p w14:paraId="6EAFB300">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4B84B2AE">
            <w:pPr>
              <w:jc w:val="center"/>
              <w:rPr>
                <w:rFonts w:hint="eastAsia" w:ascii="宋体" w:hAnsi="宋体" w:eastAsia="宋体" w:cs="宋体"/>
                <w:i w:val="0"/>
                <w:iCs w:val="0"/>
                <w:color w:val="000000"/>
                <w:sz w:val="22"/>
                <w:szCs w:val="22"/>
                <w:u w:val="none"/>
              </w:rPr>
            </w:pPr>
          </w:p>
        </w:tc>
        <w:tc>
          <w:tcPr>
            <w:tcW w:w="1244" w:type="dxa"/>
            <w:vMerge w:val="restart"/>
            <w:shd w:val="clear" w:color="auto" w:fill="auto"/>
            <w:vAlign w:val="center"/>
          </w:tcPr>
          <w:p w14:paraId="1E44B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绩效指标明确性</w:t>
            </w:r>
          </w:p>
        </w:tc>
        <w:tc>
          <w:tcPr>
            <w:tcW w:w="660" w:type="dxa"/>
            <w:vMerge w:val="restart"/>
            <w:shd w:val="clear" w:color="auto" w:fill="auto"/>
            <w:vAlign w:val="center"/>
          </w:tcPr>
          <w:p w14:paraId="1762D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09" w:type="dxa"/>
            <w:shd w:val="clear" w:color="auto" w:fill="auto"/>
            <w:vAlign w:val="center"/>
          </w:tcPr>
          <w:p w14:paraId="3E61B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34" w:type="dxa"/>
            <w:shd w:val="clear" w:color="auto" w:fill="auto"/>
            <w:vAlign w:val="center"/>
          </w:tcPr>
          <w:p w14:paraId="2A259F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是否将项目绩效目标细化分解为具体的绩效指标；每发现一项不完备的，扣25%分值，扣完为止。</w:t>
            </w:r>
          </w:p>
        </w:tc>
        <w:tc>
          <w:tcPr>
            <w:tcW w:w="1166" w:type="dxa"/>
            <w:shd w:val="clear" w:color="auto" w:fill="auto"/>
            <w:vAlign w:val="center"/>
          </w:tcPr>
          <w:p w14:paraId="2D29E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84" w:type="dxa"/>
            <w:shd w:val="clear" w:color="auto" w:fill="auto"/>
            <w:vAlign w:val="center"/>
          </w:tcPr>
          <w:p w14:paraId="28348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1550" w:type="dxa"/>
            <w:vMerge w:val="continue"/>
            <w:shd w:val="clear" w:color="auto" w:fill="auto"/>
            <w:vAlign w:val="center"/>
          </w:tcPr>
          <w:p w14:paraId="2C9C75F9">
            <w:pPr>
              <w:jc w:val="center"/>
              <w:rPr>
                <w:rFonts w:hint="eastAsia" w:ascii="宋体" w:hAnsi="宋体" w:eastAsia="宋体" w:cs="宋体"/>
                <w:i w:val="0"/>
                <w:iCs w:val="0"/>
                <w:color w:val="000000"/>
                <w:sz w:val="22"/>
                <w:szCs w:val="22"/>
                <w:u w:val="none"/>
              </w:rPr>
            </w:pPr>
          </w:p>
        </w:tc>
      </w:tr>
      <w:tr w14:paraId="6D0D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4" w:type="dxa"/>
            <w:vMerge w:val="continue"/>
            <w:shd w:val="clear" w:color="auto" w:fill="auto"/>
            <w:vAlign w:val="center"/>
          </w:tcPr>
          <w:p w14:paraId="310EDB9B">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6216A367">
            <w:pPr>
              <w:jc w:val="center"/>
              <w:rPr>
                <w:rFonts w:hint="eastAsia" w:ascii="宋体" w:hAnsi="宋体" w:eastAsia="宋体" w:cs="宋体"/>
                <w:i w:val="0"/>
                <w:iCs w:val="0"/>
                <w:color w:val="000000"/>
                <w:sz w:val="22"/>
                <w:szCs w:val="22"/>
                <w:u w:val="none"/>
              </w:rPr>
            </w:pPr>
          </w:p>
        </w:tc>
        <w:tc>
          <w:tcPr>
            <w:tcW w:w="854" w:type="dxa"/>
            <w:vMerge w:val="continue"/>
            <w:shd w:val="clear" w:color="auto" w:fill="auto"/>
            <w:vAlign w:val="center"/>
          </w:tcPr>
          <w:p w14:paraId="0EABD142">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7ACF6D32">
            <w:pPr>
              <w:jc w:val="center"/>
              <w:rPr>
                <w:rFonts w:hint="eastAsia" w:ascii="宋体" w:hAnsi="宋体" w:eastAsia="宋体" w:cs="宋体"/>
                <w:i w:val="0"/>
                <w:iCs w:val="0"/>
                <w:color w:val="000000"/>
                <w:sz w:val="22"/>
                <w:szCs w:val="22"/>
                <w:u w:val="none"/>
              </w:rPr>
            </w:pPr>
          </w:p>
        </w:tc>
        <w:tc>
          <w:tcPr>
            <w:tcW w:w="1244" w:type="dxa"/>
            <w:vMerge w:val="continue"/>
            <w:shd w:val="clear" w:color="auto" w:fill="auto"/>
            <w:vAlign w:val="center"/>
          </w:tcPr>
          <w:p w14:paraId="16D7A731">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572C48FF">
            <w:pPr>
              <w:jc w:val="center"/>
              <w:rPr>
                <w:rFonts w:hint="eastAsia" w:ascii="宋体" w:hAnsi="宋体" w:eastAsia="宋体" w:cs="宋体"/>
                <w:i w:val="0"/>
                <w:iCs w:val="0"/>
                <w:color w:val="000000"/>
                <w:sz w:val="22"/>
                <w:szCs w:val="22"/>
                <w:u w:val="none"/>
              </w:rPr>
            </w:pPr>
          </w:p>
        </w:tc>
        <w:tc>
          <w:tcPr>
            <w:tcW w:w="809" w:type="dxa"/>
            <w:shd w:val="clear" w:color="auto" w:fill="auto"/>
            <w:vAlign w:val="center"/>
          </w:tcPr>
          <w:p w14:paraId="46115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34" w:type="dxa"/>
            <w:shd w:val="clear" w:color="auto" w:fill="auto"/>
            <w:vAlign w:val="center"/>
          </w:tcPr>
          <w:p w14:paraId="3DE830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是否通过清晰、可衡量的指标值予以体现；每发现一项不完备的，扣25%分值，扣完为止。</w:t>
            </w:r>
          </w:p>
        </w:tc>
        <w:tc>
          <w:tcPr>
            <w:tcW w:w="1166" w:type="dxa"/>
            <w:shd w:val="clear" w:color="auto" w:fill="auto"/>
            <w:vAlign w:val="center"/>
          </w:tcPr>
          <w:p w14:paraId="58347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否</w:t>
            </w:r>
          </w:p>
        </w:tc>
        <w:tc>
          <w:tcPr>
            <w:tcW w:w="984" w:type="dxa"/>
            <w:shd w:val="clear" w:color="auto" w:fill="auto"/>
            <w:vAlign w:val="center"/>
          </w:tcPr>
          <w:p w14:paraId="7BDB4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50" w:type="dxa"/>
            <w:vMerge w:val="continue"/>
            <w:shd w:val="clear" w:color="auto" w:fill="auto"/>
            <w:vAlign w:val="center"/>
          </w:tcPr>
          <w:p w14:paraId="61711886">
            <w:pPr>
              <w:jc w:val="center"/>
              <w:rPr>
                <w:rFonts w:hint="eastAsia" w:ascii="宋体" w:hAnsi="宋体" w:eastAsia="宋体" w:cs="宋体"/>
                <w:i w:val="0"/>
                <w:iCs w:val="0"/>
                <w:color w:val="000000"/>
                <w:sz w:val="22"/>
                <w:szCs w:val="22"/>
                <w:u w:val="none"/>
              </w:rPr>
            </w:pPr>
          </w:p>
        </w:tc>
      </w:tr>
      <w:tr w14:paraId="3769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854" w:type="dxa"/>
            <w:vMerge w:val="continue"/>
            <w:shd w:val="clear" w:color="auto" w:fill="auto"/>
            <w:vAlign w:val="center"/>
          </w:tcPr>
          <w:p w14:paraId="23641BD9">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5C562DEA">
            <w:pPr>
              <w:jc w:val="center"/>
              <w:rPr>
                <w:rFonts w:hint="eastAsia" w:ascii="宋体" w:hAnsi="宋体" w:eastAsia="宋体" w:cs="宋体"/>
                <w:i w:val="0"/>
                <w:iCs w:val="0"/>
                <w:color w:val="000000"/>
                <w:sz w:val="22"/>
                <w:szCs w:val="22"/>
                <w:u w:val="none"/>
              </w:rPr>
            </w:pPr>
          </w:p>
        </w:tc>
        <w:tc>
          <w:tcPr>
            <w:tcW w:w="854" w:type="dxa"/>
            <w:vMerge w:val="continue"/>
            <w:shd w:val="clear" w:color="auto" w:fill="auto"/>
            <w:vAlign w:val="center"/>
          </w:tcPr>
          <w:p w14:paraId="44C94B9C">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48A136C2">
            <w:pPr>
              <w:jc w:val="center"/>
              <w:rPr>
                <w:rFonts w:hint="eastAsia" w:ascii="宋体" w:hAnsi="宋体" w:eastAsia="宋体" w:cs="宋体"/>
                <w:i w:val="0"/>
                <w:iCs w:val="0"/>
                <w:color w:val="000000"/>
                <w:sz w:val="22"/>
                <w:szCs w:val="22"/>
                <w:u w:val="none"/>
              </w:rPr>
            </w:pPr>
          </w:p>
        </w:tc>
        <w:tc>
          <w:tcPr>
            <w:tcW w:w="1244" w:type="dxa"/>
            <w:vMerge w:val="continue"/>
            <w:shd w:val="clear" w:color="auto" w:fill="auto"/>
            <w:vAlign w:val="center"/>
          </w:tcPr>
          <w:p w14:paraId="7090F879">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7FB4AB0D">
            <w:pPr>
              <w:jc w:val="center"/>
              <w:rPr>
                <w:rFonts w:hint="eastAsia" w:ascii="宋体" w:hAnsi="宋体" w:eastAsia="宋体" w:cs="宋体"/>
                <w:i w:val="0"/>
                <w:iCs w:val="0"/>
                <w:color w:val="000000"/>
                <w:sz w:val="22"/>
                <w:szCs w:val="22"/>
                <w:u w:val="none"/>
              </w:rPr>
            </w:pPr>
          </w:p>
        </w:tc>
        <w:tc>
          <w:tcPr>
            <w:tcW w:w="809" w:type="dxa"/>
            <w:shd w:val="clear" w:color="auto" w:fill="auto"/>
            <w:vAlign w:val="center"/>
          </w:tcPr>
          <w:p w14:paraId="47110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34" w:type="dxa"/>
            <w:shd w:val="clear" w:color="auto" w:fill="auto"/>
            <w:vAlign w:val="center"/>
          </w:tcPr>
          <w:p w14:paraId="25D023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是否与项目目标任务数或计划数相对应。每发现一项不完备的，扣25%分值，扣完为止。</w:t>
            </w:r>
          </w:p>
        </w:tc>
        <w:tc>
          <w:tcPr>
            <w:tcW w:w="1166" w:type="dxa"/>
            <w:shd w:val="clear" w:color="auto" w:fill="auto"/>
            <w:vAlign w:val="center"/>
          </w:tcPr>
          <w:p w14:paraId="07931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84" w:type="dxa"/>
            <w:shd w:val="clear" w:color="auto" w:fill="auto"/>
            <w:vAlign w:val="center"/>
          </w:tcPr>
          <w:p w14:paraId="0692A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1550" w:type="dxa"/>
            <w:vMerge w:val="continue"/>
            <w:shd w:val="clear" w:color="auto" w:fill="auto"/>
            <w:vAlign w:val="center"/>
          </w:tcPr>
          <w:p w14:paraId="355B8248">
            <w:pPr>
              <w:jc w:val="center"/>
              <w:rPr>
                <w:rFonts w:hint="eastAsia" w:ascii="宋体" w:hAnsi="宋体" w:eastAsia="宋体" w:cs="宋体"/>
                <w:i w:val="0"/>
                <w:iCs w:val="0"/>
                <w:color w:val="000000"/>
                <w:sz w:val="22"/>
                <w:szCs w:val="22"/>
                <w:u w:val="none"/>
              </w:rPr>
            </w:pPr>
          </w:p>
        </w:tc>
      </w:tr>
      <w:tr w14:paraId="2EA9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4" w:type="dxa"/>
            <w:vMerge w:val="continue"/>
            <w:shd w:val="clear" w:color="auto" w:fill="auto"/>
            <w:vAlign w:val="center"/>
          </w:tcPr>
          <w:p w14:paraId="6957BBEF">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07911104">
            <w:pPr>
              <w:jc w:val="center"/>
              <w:rPr>
                <w:rFonts w:hint="eastAsia" w:ascii="宋体" w:hAnsi="宋体" w:eastAsia="宋体" w:cs="宋体"/>
                <w:i w:val="0"/>
                <w:iCs w:val="0"/>
                <w:color w:val="000000"/>
                <w:sz w:val="22"/>
                <w:szCs w:val="22"/>
                <w:u w:val="none"/>
              </w:rPr>
            </w:pPr>
          </w:p>
        </w:tc>
        <w:tc>
          <w:tcPr>
            <w:tcW w:w="854" w:type="dxa"/>
            <w:vMerge w:val="restart"/>
            <w:shd w:val="clear" w:color="auto" w:fill="auto"/>
            <w:vAlign w:val="center"/>
          </w:tcPr>
          <w:p w14:paraId="1EE61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资金投入</w:t>
            </w:r>
          </w:p>
        </w:tc>
        <w:tc>
          <w:tcPr>
            <w:tcW w:w="660" w:type="dxa"/>
            <w:vMerge w:val="restart"/>
            <w:shd w:val="clear" w:color="auto" w:fill="auto"/>
            <w:vAlign w:val="center"/>
          </w:tcPr>
          <w:p w14:paraId="56DF7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4" w:type="dxa"/>
            <w:vMerge w:val="restart"/>
            <w:shd w:val="clear" w:color="auto" w:fill="auto"/>
            <w:vAlign w:val="center"/>
          </w:tcPr>
          <w:p w14:paraId="4C65E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预算编制科学性</w:t>
            </w:r>
          </w:p>
        </w:tc>
        <w:tc>
          <w:tcPr>
            <w:tcW w:w="660" w:type="dxa"/>
            <w:vMerge w:val="restart"/>
            <w:shd w:val="clear" w:color="auto" w:fill="auto"/>
            <w:vAlign w:val="center"/>
          </w:tcPr>
          <w:p w14:paraId="03DEA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09" w:type="dxa"/>
            <w:shd w:val="clear" w:color="auto" w:fill="auto"/>
            <w:vAlign w:val="center"/>
          </w:tcPr>
          <w:p w14:paraId="52744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334" w:type="dxa"/>
            <w:shd w:val="clear" w:color="auto" w:fill="auto"/>
            <w:vAlign w:val="center"/>
          </w:tcPr>
          <w:p w14:paraId="3F777D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预算编制是否经过科学论证；每发现一项不完备的，扣25%分值，扣完为止。</w:t>
            </w:r>
          </w:p>
        </w:tc>
        <w:tc>
          <w:tcPr>
            <w:tcW w:w="1166" w:type="dxa"/>
            <w:shd w:val="clear" w:color="auto" w:fill="auto"/>
            <w:vAlign w:val="center"/>
          </w:tcPr>
          <w:p w14:paraId="44144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84" w:type="dxa"/>
            <w:shd w:val="clear" w:color="auto" w:fill="auto"/>
            <w:vAlign w:val="center"/>
          </w:tcPr>
          <w:p w14:paraId="0B6A8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550" w:type="dxa"/>
            <w:vMerge w:val="continue"/>
            <w:shd w:val="clear" w:color="auto" w:fill="auto"/>
            <w:vAlign w:val="center"/>
          </w:tcPr>
          <w:p w14:paraId="5E211F08">
            <w:pPr>
              <w:jc w:val="center"/>
              <w:rPr>
                <w:rFonts w:hint="eastAsia" w:ascii="宋体" w:hAnsi="宋体" w:eastAsia="宋体" w:cs="宋体"/>
                <w:i w:val="0"/>
                <w:iCs w:val="0"/>
                <w:color w:val="000000"/>
                <w:sz w:val="22"/>
                <w:szCs w:val="22"/>
                <w:u w:val="none"/>
              </w:rPr>
            </w:pPr>
          </w:p>
        </w:tc>
      </w:tr>
      <w:tr w14:paraId="29DA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4" w:type="dxa"/>
            <w:vMerge w:val="continue"/>
            <w:shd w:val="clear" w:color="auto" w:fill="auto"/>
            <w:vAlign w:val="center"/>
          </w:tcPr>
          <w:p w14:paraId="71C90A50">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31B037D9">
            <w:pPr>
              <w:jc w:val="center"/>
              <w:rPr>
                <w:rFonts w:hint="eastAsia" w:ascii="宋体" w:hAnsi="宋体" w:eastAsia="宋体" w:cs="宋体"/>
                <w:i w:val="0"/>
                <w:iCs w:val="0"/>
                <w:color w:val="000000"/>
                <w:sz w:val="22"/>
                <w:szCs w:val="22"/>
                <w:u w:val="none"/>
              </w:rPr>
            </w:pPr>
          </w:p>
        </w:tc>
        <w:tc>
          <w:tcPr>
            <w:tcW w:w="854" w:type="dxa"/>
            <w:vMerge w:val="continue"/>
            <w:shd w:val="clear" w:color="auto" w:fill="auto"/>
            <w:vAlign w:val="center"/>
          </w:tcPr>
          <w:p w14:paraId="26F682D1">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2725DFED">
            <w:pPr>
              <w:jc w:val="center"/>
              <w:rPr>
                <w:rFonts w:hint="eastAsia" w:ascii="宋体" w:hAnsi="宋体" w:eastAsia="宋体" w:cs="宋体"/>
                <w:i w:val="0"/>
                <w:iCs w:val="0"/>
                <w:color w:val="000000"/>
                <w:sz w:val="22"/>
                <w:szCs w:val="22"/>
                <w:u w:val="none"/>
              </w:rPr>
            </w:pPr>
          </w:p>
        </w:tc>
        <w:tc>
          <w:tcPr>
            <w:tcW w:w="1244" w:type="dxa"/>
            <w:vMerge w:val="continue"/>
            <w:shd w:val="clear" w:color="auto" w:fill="auto"/>
            <w:vAlign w:val="center"/>
          </w:tcPr>
          <w:p w14:paraId="1F18076F">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48979D08">
            <w:pPr>
              <w:jc w:val="center"/>
              <w:rPr>
                <w:rFonts w:hint="eastAsia" w:ascii="宋体" w:hAnsi="宋体" w:eastAsia="宋体" w:cs="宋体"/>
                <w:i w:val="0"/>
                <w:iCs w:val="0"/>
                <w:color w:val="000000"/>
                <w:sz w:val="22"/>
                <w:szCs w:val="22"/>
                <w:u w:val="none"/>
              </w:rPr>
            </w:pPr>
          </w:p>
        </w:tc>
        <w:tc>
          <w:tcPr>
            <w:tcW w:w="809" w:type="dxa"/>
            <w:shd w:val="clear" w:color="auto" w:fill="auto"/>
            <w:vAlign w:val="center"/>
          </w:tcPr>
          <w:p w14:paraId="30AEF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334" w:type="dxa"/>
            <w:shd w:val="clear" w:color="auto" w:fill="auto"/>
            <w:vAlign w:val="center"/>
          </w:tcPr>
          <w:p w14:paraId="35EB1D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预算内容与项目内容是否匹配；每发现一项不完备的，扣25%分值，扣完为止。</w:t>
            </w:r>
          </w:p>
        </w:tc>
        <w:tc>
          <w:tcPr>
            <w:tcW w:w="1166" w:type="dxa"/>
            <w:shd w:val="clear" w:color="auto" w:fill="auto"/>
            <w:vAlign w:val="center"/>
          </w:tcPr>
          <w:p w14:paraId="0B7F2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84" w:type="dxa"/>
            <w:shd w:val="clear" w:color="auto" w:fill="auto"/>
            <w:vAlign w:val="center"/>
          </w:tcPr>
          <w:p w14:paraId="51B3C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550" w:type="dxa"/>
            <w:vMerge w:val="continue"/>
            <w:shd w:val="clear" w:color="auto" w:fill="auto"/>
            <w:vAlign w:val="center"/>
          </w:tcPr>
          <w:p w14:paraId="5D07CB57">
            <w:pPr>
              <w:jc w:val="center"/>
              <w:rPr>
                <w:rFonts w:hint="eastAsia" w:ascii="宋体" w:hAnsi="宋体" w:eastAsia="宋体" w:cs="宋体"/>
                <w:i w:val="0"/>
                <w:iCs w:val="0"/>
                <w:color w:val="000000"/>
                <w:sz w:val="22"/>
                <w:szCs w:val="22"/>
                <w:u w:val="none"/>
              </w:rPr>
            </w:pPr>
          </w:p>
        </w:tc>
      </w:tr>
      <w:tr w14:paraId="7EC4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4" w:type="dxa"/>
            <w:vMerge w:val="continue"/>
            <w:shd w:val="clear" w:color="auto" w:fill="auto"/>
            <w:vAlign w:val="center"/>
          </w:tcPr>
          <w:p w14:paraId="10F94746">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6F776571">
            <w:pPr>
              <w:jc w:val="center"/>
              <w:rPr>
                <w:rFonts w:hint="eastAsia" w:ascii="宋体" w:hAnsi="宋体" w:eastAsia="宋体" w:cs="宋体"/>
                <w:i w:val="0"/>
                <w:iCs w:val="0"/>
                <w:color w:val="000000"/>
                <w:sz w:val="22"/>
                <w:szCs w:val="22"/>
                <w:u w:val="none"/>
              </w:rPr>
            </w:pPr>
          </w:p>
        </w:tc>
        <w:tc>
          <w:tcPr>
            <w:tcW w:w="854" w:type="dxa"/>
            <w:vMerge w:val="continue"/>
            <w:shd w:val="clear" w:color="auto" w:fill="auto"/>
            <w:vAlign w:val="center"/>
          </w:tcPr>
          <w:p w14:paraId="53E18FD8">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5BFC17AE">
            <w:pPr>
              <w:jc w:val="center"/>
              <w:rPr>
                <w:rFonts w:hint="eastAsia" w:ascii="宋体" w:hAnsi="宋体" w:eastAsia="宋体" w:cs="宋体"/>
                <w:i w:val="0"/>
                <w:iCs w:val="0"/>
                <w:color w:val="000000"/>
                <w:sz w:val="22"/>
                <w:szCs w:val="22"/>
                <w:u w:val="none"/>
              </w:rPr>
            </w:pPr>
          </w:p>
        </w:tc>
        <w:tc>
          <w:tcPr>
            <w:tcW w:w="1244" w:type="dxa"/>
            <w:vMerge w:val="continue"/>
            <w:shd w:val="clear" w:color="auto" w:fill="auto"/>
            <w:vAlign w:val="center"/>
          </w:tcPr>
          <w:p w14:paraId="6F9A9E26">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41D5CCF3">
            <w:pPr>
              <w:jc w:val="center"/>
              <w:rPr>
                <w:rFonts w:hint="eastAsia" w:ascii="宋体" w:hAnsi="宋体" w:eastAsia="宋体" w:cs="宋体"/>
                <w:i w:val="0"/>
                <w:iCs w:val="0"/>
                <w:color w:val="000000"/>
                <w:sz w:val="22"/>
                <w:szCs w:val="22"/>
                <w:u w:val="none"/>
              </w:rPr>
            </w:pPr>
          </w:p>
        </w:tc>
        <w:tc>
          <w:tcPr>
            <w:tcW w:w="809" w:type="dxa"/>
            <w:shd w:val="clear" w:color="auto" w:fill="auto"/>
            <w:vAlign w:val="center"/>
          </w:tcPr>
          <w:p w14:paraId="0B1B9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334" w:type="dxa"/>
            <w:shd w:val="clear" w:color="auto" w:fill="auto"/>
            <w:vAlign w:val="center"/>
          </w:tcPr>
          <w:p w14:paraId="66AC7B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预算额度测算依据是否充分，是否按照标准编制；每发现一项不完备的，扣25%分值，扣完为止。</w:t>
            </w:r>
          </w:p>
        </w:tc>
        <w:tc>
          <w:tcPr>
            <w:tcW w:w="1166" w:type="dxa"/>
            <w:shd w:val="clear" w:color="auto" w:fill="auto"/>
            <w:vAlign w:val="center"/>
          </w:tcPr>
          <w:p w14:paraId="6D79A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84" w:type="dxa"/>
            <w:shd w:val="clear" w:color="auto" w:fill="auto"/>
            <w:vAlign w:val="center"/>
          </w:tcPr>
          <w:p w14:paraId="25C25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550" w:type="dxa"/>
            <w:vMerge w:val="continue"/>
            <w:shd w:val="clear" w:color="auto" w:fill="auto"/>
            <w:vAlign w:val="center"/>
          </w:tcPr>
          <w:p w14:paraId="18A83AD6">
            <w:pPr>
              <w:jc w:val="center"/>
              <w:rPr>
                <w:rFonts w:hint="eastAsia" w:ascii="宋体" w:hAnsi="宋体" w:eastAsia="宋体" w:cs="宋体"/>
                <w:i w:val="0"/>
                <w:iCs w:val="0"/>
                <w:color w:val="000000"/>
                <w:sz w:val="22"/>
                <w:szCs w:val="22"/>
                <w:u w:val="none"/>
              </w:rPr>
            </w:pPr>
          </w:p>
        </w:tc>
      </w:tr>
      <w:tr w14:paraId="2ECD4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854" w:type="dxa"/>
            <w:vMerge w:val="continue"/>
            <w:shd w:val="clear" w:color="auto" w:fill="auto"/>
            <w:vAlign w:val="center"/>
          </w:tcPr>
          <w:p w14:paraId="6A237897">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212DA080">
            <w:pPr>
              <w:jc w:val="center"/>
              <w:rPr>
                <w:rFonts w:hint="eastAsia" w:ascii="宋体" w:hAnsi="宋体" w:eastAsia="宋体" w:cs="宋体"/>
                <w:i w:val="0"/>
                <w:iCs w:val="0"/>
                <w:color w:val="000000"/>
                <w:sz w:val="22"/>
                <w:szCs w:val="22"/>
                <w:u w:val="none"/>
              </w:rPr>
            </w:pPr>
          </w:p>
        </w:tc>
        <w:tc>
          <w:tcPr>
            <w:tcW w:w="854" w:type="dxa"/>
            <w:vMerge w:val="continue"/>
            <w:shd w:val="clear" w:color="auto" w:fill="auto"/>
            <w:vAlign w:val="center"/>
          </w:tcPr>
          <w:p w14:paraId="5AADD5B5">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39DD4172">
            <w:pPr>
              <w:jc w:val="center"/>
              <w:rPr>
                <w:rFonts w:hint="eastAsia" w:ascii="宋体" w:hAnsi="宋体" w:eastAsia="宋体" w:cs="宋体"/>
                <w:i w:val="0"/>
                <w:iCs w:val="0"/>
                <w:color w:val="000000"/>
                <w:sz w:val="22"/>
                <w:szCs w:val="22"/>
                <w:u w:val="none"/>
              </w:rPr>
            </w:pPr>
          </w:p>
        </w:tc>
        <w:tc>
          <w:tcPr>
            <w:tcW w:w="1244" w:type="dxa"/>
            <w:vMerge w:val="continue"/>
            <w:shd w:val="clear" w:color="auto" w:fill="auto"/>
            <w:vAlign w:val="center"/>
          </w:tcPr>
          <w:p w14:paraId="40336DEB">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717AA81C">
            <w:pPr>
              <w:jc w:val="center"/>
              <w:rPr>
                <w:rFonts w:hint="eastAsia" w:ascii="宋体" w:hAnsi="宋体" w:eastAsia="宋体" w:cs="宋体"/>
                <w:i w:val="0"/>
                <w:iCs w:val="0"/>
                <w:color w:val="000000"/>
                <w:sz w:val="22"/>
                <w:szCs w:val="22"/>
                <w:u w:val="none"/>
              </w:rPr>
            </w:pPr>
          </w:p>
        </w:tc>
        <w:tc>
          <w:tcPr>
            <w:tcW w:w="809" w:type="dxa"/>
            <w:shd w:val="clear" w:color="auto" w:fill="auto"/>
            <w:vAlign w:val="center"/>
          </w:tcPr>
          <w:p w14:paraId="3BC76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334" w:type="dxa"/>
            <w:shd w:val="clear" w:color="auto" w:fill="auto"/>
            <w:vAlign w:val="center"/>
          </w:tcPr>
          <w:p w14:paraId="426454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预算确定的项目投资额或资金量是否与工作任务相匹配。每发现一项不完备的，扣25%分值，扣完为止。</w:t>
            </w:r>
          </w:p>
        </w:tc>
        <w:tc>
          <w:tcPr>
            <w:tcW w:w="1166" w:type="dxa"/>
            <w:shd w:val="clear" w:color="auto" w:fill="auto"/>
            <w:vAlign w:val="center"/>
          </w:tcPr>
          <w:p w14:paraId="1331E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84" w:type="dxa"/>
            <w:shd w:val="clear" w:color="auto" w:fill="auto"/>
            <w:vAlign w:val="center"/>
          </w:tcPr>
          <w:p w14:paraId="3B133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550" w:type="dxa"/>
            <w:vMerge w:val="continue"/>
            <w:shd w:val="clear" w:color="auto" w:fill="auto"/>
            <w:vAlign w:val="center"/>
          </w:tcPr>
          <w:p w14:paraId="2FDD9BEC">
            <w:pPr>
              <w:jc w:val="center"/>
              <w:rPr>
                <w:rFonts w:hint="eastAsia" w:ascii="宋体" w:hAnsi="宋体" w:eastAsia="宋体" w:cs="宋体"/>
                <w:i w:val="0"/>
                <w:iCs w:val="0"/>
                <w:color w:val="000000"/>
                <w:sz w:val="22"/>
                <w:szCs w:val="22"/>
                <w:u w:val="none"/>
              </w:rPr>
            </w:pPr>
          </w:p>
        </w:tc>
      </w:tr>
      <w:tr w14:paraId="1D19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4" w:type="dxa"/>
            <w:vMerge w:val="continue"/>
            <w:shd w:val="clear" w:color="auto" w:fill="auto"/>
            <w:vAlign w:val="center"/>
          </w:tcPr>
          <w:p w14:paraId="447316AB">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62939551">
            <w:pPr>
              <w:jc w:val="center"/>
              <w:rPr>
                <w:rFonts w:hint="eastAsia" w:ascii="宋体" w:hAnsi="宋体" w:eastAsia="宋体" w:cs="宋体"/>
                <w:i w:val="0"/>
                <w:iCs w:val="0"/>
                <w:color w:val="000000"/>
                <w:sz w:val="22"/>
                <w:szCs w:val="22"/>
                <w:u w:val="none"/>
              </w:rPr>
            </w:pPr>
          </w:p>
        </w:tc>
        <w:tc>
          <w:tcPr>
            <w:tcW w:w="854" w:type="dxa"/>
            <w:vMerge w:val="continue"/>
            <w:shd w:val="clear" w:color="auto" w:fill="auto"/>
            <w:vAlign w:val="center"/>
          </w:tcPr>
          <w:p w14:paraId="2382FA05">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4CED0CB5">
            <w:pPr>
              <w:jc w:val="center"/>
              <w:rPr>
                <w:rFonts w:hint="eastAsia" w:ascii="宋体" w:hAnsi="宋体" w:eastAsia="宋体" w:cs="宋体"/>
                <w:i w:val="0"/>
                <w:iCs w:val="0"/>
                <w:color w:val="000000"/>
                <w:sz w:val="22"/>
                <w:szCs w:val="22"/>
                <w:u w:val="none"/>
              </w:rPr>
            </w:pPr>
          </w:p>
        </w:tc>
        <w:tc>
          <w:tcPr>
            <w:tcW w:w="1244" w:type="dxa"/>
            <w:vMerge w:val="restart"/>
            <w:shd w:val="clear" w:color="auto" w:fill="auto"/>
            <w:vAlign w:val="center"/>
          </w:tcPr>
          <w:p w14:paraId="74FE5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资金分配合理性</w:t>
            </w:r>
          </w:p>
        </w:tc>
        <w:tc>
          <w:tcPr>
            <w:tcW w:w="660" w:type="dxa"/>
            <w:vMerge w:val="restart"/>
            <w:shd w:val="clear" w:color="auto" w:fill="auto"/>
            <w:vAlign w:val="center"/>
          </w:tcPr>
          <w:p w14:paraId="295B3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09" w:type="dxa"/>
            <w:shd w:val="clear" w:color="auto" w:fill="auto"/>
            <w:vAlign w:val="center"/>
          </w:tcPr>
          <w:p w14:paraId="54CFD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334" w:type="dxa"/>
            <w:shd w:val="clear" w:color="auto" w:fill="auto"/>
            <w:vAlign w:val="center"/>
          </w:tcPr>
          <w:p w14:paraId="59EB41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预算资金分配依据是否充分；每发现一项不完备的，扣25%分值，扣完为止。</w:t>
            </w:r>
          </w:p>
        </w:tc>
        <w:tc>
          <w:tcPr>
            <w:tcW w:w="1166" w:type="dxa"/>
            <w:shd w:val="clear" w:color="auto" w:fill="auto"/>
            <w:vAlign w:val="center"/>
          </w:tcPr>
          <w:p w14:paraId="2148F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84" w:type="dxa"/>
            <w:shd w:val="clear" w:color="auto" w:fill="auto"/>
            <w:vAlign w:val="center"/>
          </w:tcPr>
          <w:p w14:paraId="4472A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50" w:type="dxa"/>
            <w:vMerge w:val="continue"/>
            <w:shd w:val="clear" w:color="auto" w:fill="auto"/>
            <w:vAlign w:val="center"/>
          </w:tcPr>
          <w:p w14:paraId="3B33FD87">
            <w:pPr>
              <w:jc w:val="center"/>
              <w:rPr>
                <w:rFonts w:hint="eastAsia" w:ascii="宋体" w:hAnsi="宋体" w:eastAsia="宋体" w:cs="宋体"/>
                <w:i w:val="0"/>
                <w:iCs w:val="0"/>
                <w:color w:val="000000"/>
                <w:sz w:val="22"/>
                <w:szCs w:val="22"/>
                <w:u w:val="none"/>
              </w:rPr>
            </w:pPr>
          </w:p>
        </w:tc>
      </w:tr>
      <w:tr w14:paraId="2737D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4" w:type="dxa"/>
            <w:vMerge w:val="continue"/>
            <w:shd w:val="clear" w:color="auto" w:fill="auto"/>
            <w:vAlign w:val="center"/>
          </w:tcPr>
          <w:p w14:paraId="71F79611">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67A74484">
            <w:pPr>
              <w:jc w:val="center"/>
              <w:rPr>
                <w:rFonts w:hint="eastAsia" w:ascii="宋体" w:hAnsi="宋体" w:eastAsia="宋体" w:cs="宋体"/>
                <w:i w:val="0"/>
                <w:iCs w:val="0"/>
                <w:color w:val="000000"/>
                <w:sz w:val="22"/>
                <w:szCs w:val="22"/>
                <w:u w:val="none"/>
              </w:rPr>
            </w:pPr>
          </w:p>
        </w:tc>
        <w:tc>
          <w:tcPr>
            <w:tcW w:w="854" w:type="dxa"/>
            <w:vMerge w:val="continue"/>
            <w:shd w:val="clear" w:color="auto" w:fill="auto"/>
            <w:vAlign w:val="center"/>
          </w:tcPr>
          <w:p w14:paraId="3E7CEBB3">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269A88FD">
            <w:pPr>
              <w:jc w:val="center"/>
              <w:rPr>
                <w:rFonts w:hint="eastAsia" w:ascii="宋体" w:hAnsi="宋体" w:eastAsia="宋体" w:cs="宋体"/>
                <w:i w:val="0"/>
                <w:iCs w:val="0"/>
                <w:color w:val="000000"/>
                <w:sz w:val="22"/>
                <w:szCs w:val="22"/>
                <w:u w:val="none"/>
              </w:rPr>
            </w:pPr>
          </w:p>
        </w:tc>
        <w:tc>
          <w:tcPr>
            <w:tcW w:w="1244" w:type="dxa"/>
            <w:vMerge w:val="continue"/>
            <w:shd w:val="clear" w:color="auto" w:fill="auto"/>
            <w:vAlign w:val="center"/>
          </w:tcPr>
          <w:p w14:paraId="45E5153F">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38A5E76D">
            <w:pPr>
              <w:jc w:val="center"/>
              <w:rPr>
                <w:rFonts w:hint="eastAsia" w:ascii="宋体" w:hAnsi="宋体" w:eastAsia="宋体" w:cs="宋体"/>
                <w:i w:val="0"/>
                <w:iCs w:val="0"/>
                <w:color w:val="000000"/>
                <w:sz w:val="22"/>
                <w:szCs w:val="22"/>
                <w:u w:val="none"/>
              </w:rPr>
            </w:pPr>
          </w:p>
        </w:tc>
        <w:tc>
          <w:tcPr>
            <w:tcW w:w="809" w:type="dxa"/>
            <w:shd w:val="clear" w:color="auto" w:fill="auto"/>
            <w:vAlign w:val="center"/>
          </w:tcPr>
          <w:p w14:paraId="0B05C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334" w:type="dxa"/>
            <w:shd w:val="clear" w:color="auto" w:fill="auto"/>
            <w:vAlign w:val="center"/>
          </w:tcPr>
          <w:p w14:paraId="75EC94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资金分配额度是否合理，与项目单位或地方实际是否相适应。每发现一项不完备的，扣25%分值，扣完为止。</w:t>
            </w:r>
          </w:p>
        </w:tc>
        <w:tc>
          <w:tcPr>
            <w:tcW w:w="1166" w:type="dxa"/>
            <w:shd w:val="clear" w:color="auto" w:fill="auto"/>
            <w:vAlign w:val="center"/>
          </w:tcPr>
          <w:p w14:paraId="0F18D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84" w:type="dxa"/>
            <w:shd w:val="clear" w:color="auto" w:fill="auto"/>
            <w:vAlign w:val="center"/>
          </w:tcPr>
          <w:p w14:paraId="2F27F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50" w:type="dxa"/>
            <w:vMerge w:val="continue"/>
            <w:shd w:val="clear" w:color="auto" w:fill="auto"/>
            <w:vAlign w:val="center"/>
          </w:tcPr>
          <w:p w14:paraId="06A59CD9">
            <w:pPr>
              <w:jc w:val="center"/>
              <w:rPr>
                <w:rFonts w:hint="eastAsia" w:ascii="宋体" w:hAnsi="宋体" w:eastAsia="宋体" w:cs="宋体"/>
                <w:i w:val="0"/>
                <w:iCs w:val="0"/>
                <w:color w:val="000000"/>
                <w:sz w:val="22"/>
                <w:szCs w:val="22"/>
                <w:u w:val="none"/>
              </w:rPr>
            </w:pPr>
          </w:p>
        </w:tc>
      </w:tr>
      <w:tr w14:paraId="072A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4" w:type="dxa"/>
            <w:vMerge w:val="restart"/>
            <w:shd w:val="clear" w:color="auto" w:fill="auto"/>
            <w:vAlign w:val="center"/>
          </w:tcPr>
          <w:p w14:paraId="4D68E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过程指标</w:t>
            </w:r>
          </w:p>
        </w:tc>
        <w:tc>
          <w:tcPr>
            <w:tcW w:w="660" w:type="dxa"/>
            <w:vMerge w:val="restart"/>
            <w:shd w:val="clear" w:color="auto" w:fill="auto"/>
            <w:vAlign w:val="center"/>
          </w:tcPr>
          <w:p w14:paraId="04068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54" w:type="dxa"/>
            <w:vMerge w:val="restart"/>
            <w:shd w:val="clear" w:color="auto" w:fill="auto"/>
            <w:vAlign w:val="center"/>
          </w:tcPr>
          <w:p w14:paraId="44F6A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资金管理</w:t>
            </w:r>
          </w:p>
        </w:tc>
        <w:tc>
          <w:tcPr>
            <w:tcW w:w="660" w:type="dxa"/>
            <w:vMerge w:val="restart"/>
            <w:shd w:val="clear" w:color="auto" w:fill="auto"/>
            <w:vAlign w:val="center"/>
          </w:tcPr>
          <w:p w14:paraId="3EF68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44" w:type="dxa"/>
            <w:shd w:val="clear" w:color="auto" w:fill="auto"/>
            <w:vAlign w:val="center"/>
          </w:tcPr>
          <w:p w14:paraId="34196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w:t>
            </w:r>
          </w:p>
        </w:tc>
        <w:tc>
          <w:tcPr>
            <w:tcW w:w="660" w:type="dxa"/>
            <w:shd w:val="clear" w:color="auto" w:fill="auto"/>
            <w:vAlign w:val="center"/>
          </w:tcPr>
          <w:p w14:paraId="1F8B3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09" w:type="dxa"/>
            <w:shd w:val="clear" w:color="auto" w:fill="auto"/>
            <w:vAlign w:val="center"/>
          </w:tcPr>
          <w:p w14:paraId="26BE5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334" w:type="dxa"/>
            <w:shd w:val="clear" w:color="auto" w:fill="auto"/>
            <w:vAlign w:val="center"/>
          </w:tcPr>
          <w:p w14:paraId="5A8500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资金到位率=（实际到位资金/预算资金）×100%（指标值-（60%））/（（100%）-（60%））× 赋分值。</w:t>
            </w:r>
          </w:p>
        </w:tc>
        <w:tc>
          <w:tcPr>
            <w:tcW w:w="1166" w:type="dxa"/>
            <w:shd w:val="clear" w:color="auto" w:fill="auto"/>
            <w:vAlign w:val="center"/>
          </w:tcPr>
          <w:p w14:paraId="5B804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84" w:type="dxa"/>
            <w:shd w:val="clear" w:color="auto" w:fill="auto"/>
            <w:vAlign w:val="center"/>
          </w:tcPr>
          <w:p w14:paraId="26C64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50" w:type="dxa"/>
            <w:vMerge w:val="restart"/>
            <w:shd w:val="clear" w:color="auto" w:fill="auto"/>
            <w:vAlign w:val="center"/>
          </w:tcPr>
          <w:p w14:paraId="7996F17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18.5</w:t>
            </w:r>
          </w:p>
        </w:tc>
      </w:tr>
      <w:tr w14:paraId="0DAD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4" w:type="dxa"/>
            <w:vMerge w:val="continue"/>
            <w:shd w:val="clear" w:color="auto" w:fill="auto"/>
            <w:vAlign w:val="center"/>
          </w:tcPr>
          <w:p w14:paraId="16B06698">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51A1F5A7">
            <w:pPr>
              <w:jc w:val="center"/>
              <w:rPr>
                <w:rFonts w:hint="eastAsia" w:ascii="宋体" w:hAnsi="宋体" w:eastAsia="宋体" w:cs="宋体"/>
                <w:i w:val="0"/>
                <w:iCs w:val="0"/>
                <w:color w:val="000000"/>
                <w:sz w:val="22"/>
                <w:szCs w:val="22"/>
                <w:u w:val="none"/>
              </w:rPr>
            </w:pPr>
          </w:p>
        </w:tc>
        <w:tc>
          <w:tcPr>
            <w:tcW w:w="854" w:type="dxa"/>
            <w:vMerge w:val="continue"/>
            <w:shd w:val="clear" w:color="auto" w:fill="auto"/>
            <w:vAlign w:val="center"/>
          </w:tcPr>
          <w:p w14:paraId="0AEA35A5">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27B0BFD9">
            <w:pPr>
              <w:jc w:val="center"/>
              <w:rPr>
                <w:rFonts w:hint="eastAsia" w:ascii="宋体" w:hAnsi="宋体" w:eastAsia="宋体" w:cs="宋体"/>
                <w:i w:val="0"/>
                <w:iCs w:val="0"/>
                <w:color w:val="000000"/>
                <w:sz w:val="22"/>
                <w:szCs w:val="22"/>
                <w:u w:val="none"/>
              </w:rPr>
            </w:pPr>
          </w:p>
        </w:tc>
        <w:tc>
          <w:tcPr>
            <w:tcW w:w="1244" w:type="dxa"/>
            <w:shd w:val="clear" w:color="auto" w:fill="auto"/>
            <w:vAlign w:val="center"/>
          </w:tcPr>
          <w:p w14:paraId="6A3B7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w:t>
            </w:r>
          </w:p>
        </w:tc>
        <w:tc>
          <w:tcPr>
            <w:tcW w:w="660" w:type="dxa"/>
            <w:shd w:val="clear" w:color="auto" w:fill="auto"/>
            <w:vAlign w:val="center"/>
          </w:tcPr>
          <w:p w14:paraId="1B28F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09" w:type="dxa"/>
            <w:shd w:val="clear" w:color="auto" w:fill="auto"/>
            <w:vAlign w:val="center"/>
          </w:tcPr>
          <w:p w14:paraId="1EDDC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34" w:type="dxa"/>
            <w:shd w:val="clear" w:color="auto" w:fill="auto"/>
            <w:vAlign w:val="center"/>
          </w:tcPr>
          <w:p w14:paraId="28E560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实际支出资金/实际到位资金）×100%。100%得100%分,大于等于90%且小于100%的得80%分,大于等于80%且小于90%的得60%分,大于等于70%且小于80%的得40%分,大于等于60%且小于70%的得20%分,大于等于0%且小于60%的得0%分。</w:t>
            </w:r>
          </w:p>
        </w:tc>
        <w:tc>
          <w:tcPr>
            <w:tcW w:w="1166" w:type="dxa"/>
            <w:shd w:val="clear" w:color="auto" w:fill="auto"/>
            <w:vAlign w:val="center"/>
          </w:tcPr>
          <w:p w14:paraId="14780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99.50%</w:t>
            </w:r>
          </w:p>
        </w:tc>
        <w:tc>
          <w:tcPr>
            <w:tcW w:w="984" w:type="dxa"/>
            <w:shd w:val="clear" w:color="auto" w:fill="auto"/>
            <w:vAlign w:val="center"/>
          </w:tcPr>
          <w:p w14:paraId="7A12B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50" w:type="dxa"/>
            <w:vMerge w:val="continue"/>
            <w:shd w:val="clear" w:color="auto" w:fill="auto"/>
            <w:vAlign w:val="center"/>
          </w:tcPr>
          <w:p w14:paraId="00E1B328">
            <w:pPr>
              <w:jc w:val="center"/>
              <w:rPr>
                <w:rFonts w:hint="eastAsia" w:ascii="宋体" w:hAnsi="宋体" w:eastAsia="宋体" w:cs="宋体"/>
                <w:i w:val="0"/>
                <w:iCs w:val="0"/>
                <w:color w:val="000000"/>
                <w:sz w:val="22"/>
                <w:szCs w:val="22"/>
                <w:u w:val="none"/>
              </w:rPr>
            </w:pPr>
          </w:p>
        </w:tc>
      </w:tr>
      <w:tr w14:paraId="160A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4" w:type="dxa"/>
            <w:vMerge w:val="continue"/>
            <w:shd w:val="clear" w:color="auto" w:fill="auto"/>
            <w:vAlign w:val="center"/>
          </w:tcPr>
          <w:p w14:paraId="39AE6134">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16B7BF55">
            <w:pPr>
              <w:jc w:val="center"/>
              <w:rPr>
                <w:rFonts w:hint="eastAsia" w:ascii="宋体" w:hAnsi="宋体" w:eastAsia="宋体" w:cs="宋体"/>
                <w:i w:val="0"/>
                <w:iCs w:val="0"/>
                <w:color w:val="000000"/>
                <w:sz w:val="22"/>
                <w:szCs w:val="22"/>
                <w:u w:val="none"/>
              </w:rPr>
            </w:pPr>
          </w:p>
        </w:tc>
        <w:tc>
          <w:tcPr>
            <w:tcW w:w="854" w:type="dxa"/>
            <w:vMerge w:val="continue"/>
            <w:shd w:val="clear" w:color="auto" w:fill="auto"/>
            <w:vAlign w:val="center"/>
          </w:tcPr>
          <w:p w14:paraId="2F406DB3">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2DD6C2F0">
            <w:pPr>
              <w:jc w:val="center"/>
              <w:rPr>
                <w:rFonts w:hint="eastAsia" w:ascii="宋体" w:hAnsi="宋体" w:eastAsia="宋体" w:cs="宋体"/>
                <w:i w:val="0"/>
                <w:iCs w:val="0"/>
                <w:color w:val="000000"/>
                <w:sz w:val="22"/>
                <w:szCs w:val="22"/>
                <w:u w:val="none"/>
              </w:rPr>
            </w:pPr>
          </w:p>
        </w:tc>
        <w:tc>
          <w:tcPr>
            <w:tcW w:w="1244" w:type="dxa"/>
            <w:vMerge w:val="restart"/>
            <w:shd w:val="clear" w:color="auto" w:fill="auto"/>
            <w:vAlign w:val="center"/>
          </w:tcPr>
          <w:p w14:paraId="7C994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资金使用合规性</w:t>
            </w:r>
          </w:p>
        </w:tc>
        <w:tc>
          <w:tcPr>
            <w:tcW w:w="660" w:type="dxa"/>
            <w:vMerge w:val="restart"/>
            <w:shd w:val="clear" w:color="auto" w:fill="auto"/>
            <w:vAlign w:val="center"/>
          </w:tcPr>
          <w:p w14:paraId="2059A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09" w:type="dxa"/>
            <w:shd w:val="clear" w:color="auto" w:fill="auto"/>
            <w:vAlign w:val="center"/>
          </w:tcPr>
          <w:p w14:paraId="44599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334" w:type="dxa"/>
            <w:shd w:val="clear" w:color="auto" w:fill="auto"/>
            <w:vAlign w:val="center"/>
          </w:tcPr>
          <w:p w14:paraId="577991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是否符合国家财经法规和财务管理制度以及有关专项资金管理办法的规定；每发现一项不完备的，扣25%分值，扣完为止。</w:t>
            </w:r>
          </w:p>
        </w:tc>
        <w:tc>
          <w:tcPr>
            <w:tcW w:w="1166" w:type="dxa"/>
            <w:shd w:val="clear" w:color="auto" w:fill="auto"/>
            <w:vAlign w:val="center"/>
          </w:tcPr>
          <w:p w14:paraId="22EAC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84" w:type="dxa"/>
            <w:shd w:val="clear" w:color="auto" w:fill="auto"/>
            <w:vAlign w:val="center"/>
          </w:tcPr>
          <w:p w14:paraId="0AD8A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550" w:type="dxa"/>
            <w:vMerge w:val="continue"/>
            <w:shd w:val="clear" w:color="auto" w:fill="auto"/>
            <w:vAlign w:val="center"/>
          </w:tcPr>
          <w:p w14:paraId="7727BA14">
            <w:pPr>
              <w:jc w:val="center"/>
              <w:rPr>
                <w:rFonts w:hint="eastAsia" w:ascii="宋体" w:hAnsi="宋体" w:eastAsia="宋体" w:cs="宋体"/>
                <w:i w:val="0"/>
                <w:iCs w:val="0"/>
                <w:color w:val="000000"/>
                <w:sz w:val="22"/>
                <w:szCs w:val="22"/>
                <w:u w:val="none"/>
              </w:rPr>
            </w:pPr>
          </w:p>
        </w:tc>
      </w:tr>
      <w:tr w14:paraId="01598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4" w:type="dxa"/>
            <w:vMerge w:val="continue"/>
            <w:shd w:val="clear" w:color="auto" w:fill="auto"/>
            <w:vAlign w:val="center"/>
          </w:tcPr>
          <w:p w14:paraId="4DBB6A7E">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1DFFDE3C">
            <w:pPr>
              <w:jc w:val="center"/>
              <w:rPr>
                <w:rFonts w:hint="eastAsia" w:ascii="宋体" w:hAnsi="宋体" w:eastAsia="宋体" w:cs="宋体"/>
                <w:i w:val="0"/>
                <w:iCs w:val="0"/>
                <w:color w:val="000000"/>
                <w:sz w:val="22"/>
                <w:szCs w:val="22"/>
                <w:u w:val="none"/>
              </w:rPr>
            </w:pPr>
          </w:p>
        </w:tc>
        <w:tc>
          <w:tcPr>
            <w:tcW w:w="854" w:type="dxa"/>
            <w:vMerge w:val="continue"/>
            <w:shd w:val="clear" w:color="auto" w:fill="auto"/>
            <w:vAlign w:val="center"/>
          </w:tcPr>
          <w:p w14:paraId="5A17BD61">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75E6E493">
            <w:pPr>
              <w:jc w:val="center"/>
              <w:rPr>
                <w:rFonts w:hint="eastAsia" w:ascii="宋体" w:hAnsi="宋体" w:eastAsia="宋体" w:cs="宋体"/>
                <w:i w:val="0"/>
                <w:iCs w:val="0"/>
                <w:color w:val="000000"/>
                <w:sz w:val="22"/>
                <w:szCs w:val="22"/>
                <w:u w:val="none"/>
              </w:rPr>
            </w:pPr>
          </w:p>
        </w:tc>
        <w:tc>
          <w:tcPr>
            <w:tcW w:w="1244" w:type="dxa"/>
            <w:vMerge w:val="continue"/>
            <w:shd w:val="clear" w:color="auto" w:fill="auto"/>
            <w:vAlign w:val="center"/>
          </w:tcPr>
          <w:p w14:paraId="78774DF3">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0683245C">
            <w:pPr>
              <w:jc w:val="center"/>
              <w:rPr>
                <w:rFonts w:hint="eastAsia" w:ascii="宋体" w:hAnsi="宋体" w:eastAsia="宋体" w:cs="宋体"/>
                <w:i w:val="0"/>
                <w:iCs w:val="0"/>
                <w:color w:val="000000"/>
                <w:sz w:val="22"/>
                <w:szCs w:val="22"/>
                <w:u w:val="none"/>
              </w:rPr>
            </w:pPr>
          </w:p>
        </w:tc>
        <w:tc>
          <w:tcPr>
            <w:tcW w:w="809" w:type="dxa"/>
            <w:shd w:val="clear" w:color="auto" w:fill="auto"/>
            <w:vAlign w:val="center"/>
          </w:tcPr>
          <w:p w14:paraId="4FB9F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334" w:type="dxa"/>
            <w:shd w:val="clear" w:color="auto" w:fill="auto"/>
            <w:vAlign w:val="center"/>
          </w:tcPr>
          <w:p w14:paraId="673254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资金的拨付是否有完整的审批程序和手续。每发现一项不完备的，扣25%分值，扣完为止。</w:t>
            </w:r>
          </w:p>
        </w:tc>
        <w:tc>
          <w:tcPr>
            <w:tcW w:w="1166" w:type="dxa"/>
            <w:shd w:val="clear" w:color="auto" w:fill="auto"/>
            <w:vAlign w:val="center"/>
          </w:tcPr>
          <w:p w14:paraId="6881E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84" w:type="dxa"/>
            <w:shd w:val="clear" w:color="auto" w:fill="auto"/>
            <w:vAlign w:val="center"/>
          </w:tcPr>
          <w:p w14:paraId="6E581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550" w:type="dxa"/>
            <w:vMerge w:val="continue"/>
            <w:shd w:val="clear" w:color="auto" w:fill="auto"/>
            <w:vAlign w:val="center"/>
          </w:tcPr>
          <w:p w14:paraId="49F052A0">
            <w:pPr>
              <w:jc w:val="center"/>
              <w:rPr>
                <w:rFonts w:hint="eastAsia" w:ascii="宋体" w:hAnsi="宋体" w:eastAsia="宋体" w:cs="宋体"/>
                <w:i w:val="0"/>
                <w:iCs w:val="0"/>
                <w:color w:val="000000"/>
                <w:sz w:val="22"/>
                <w:szCs w:val="22"/>
                <w:u w:val="none"/>
              </w:rPr>
            </w:pPr>
          </w:p>
        </w:tc>
      </w:tr>
      <w:tr w14:paraId="1617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4" w:type="dxa"/>
            <w:vMerge w:val="continue"/>
            <w:shd w:val="clear" w:color="auto" w:fill="auto"/>
            <w:vAlign w:val="center"/>
          </w:tcPr>
          <w:p w14:paraId="1E64B437">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6955883C">
            <w:pPr>
              <w:jc w:val="center"/>
              <w:rPr>
                <w:rFonts w:hint="eastAsia" w:ascii="宋体" w:hAnsi="宋体" w:eastAsia="宋体" w:cs="宋体"/>
                <w:i w:val="0"/>
                <w:iCs w:val="0"/>
                <w:color w:val="000000"/>
                <w:sz w:val="22"/>
                <w:szCs w:val="22"/>
                <w:u w:val="none"/>
              </w:rPr>
            </w:pPr>
          </w:p>
        </w:tc>
        <w:tc>
          <w:tcPr>
            <w:tcW w:w="854" w:type="dxa"/>
            <w:vMerge w:val="continue"/>
            <w:shd w:val="clear" w:color="auto" w:fill="auto"/>
            <w:vAlign w:val="center"/>
          </w:tcPr>
          <w:p w14:paraId="3890EC88">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76B5FA9D">
            <w:pPr>
              <w:jc w:val="center"/>
              <w:rPr>
                <w:rFonts w:hint="eastAsia" w:ascii="宋体" w:hAnsi="宋体" w:eastAsia="宋体" w:cs="宋体"/>
                <w:i w:val="0"/>
                <w:iCs w:val="0"/>
                <w:color w:val="000000"/>
                <w:sz w:val="22"/>
                <w:szCs w:val="22"/>
                <w:u w:val="none"/>
              </w:rPr>
            </w:pPr>
          </w:p>
        </w:tc>
        <w:tc>
          <w:tcPr>
            <w:tcW w:w="1244" w:type="dxa"/>
            <w:vMerge w:val="continue"/>
            <w:shd w:val="clear" w:color="auto" w:fill="auto"/>
            <w:vAlign w:val="center"/>
          </w:tcPr>
          <w:p w14:paraId="5AD8DF7F">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4DD12EC6">
            <w:pPr>
              <w:jc w:val="center"/>
              <w:rPr>
                <w:rFonts w:hint="eastAsia" w:ascii="宋体" w:hAnsi="宋体" w:eastAsia="宋体" w:cs="宋体"/>
                <w:i w:val="0"/>
                <w:iCs w:val="0"/>
                <w:color w:val="000000"/>
                <w:sz w:val="22"/>
                <w:szCs w:val="22"/>
                <w:u w:val="none"/>
              </w:rPr>
            </w:pPr>
          </w:p>
        </w:tc>
        <w:tc>
          <w:tcPr>
            <w:tcW w:w="809" w:type="dxa"/>
            <w:shd w:val="clear" w:color="auto" w:fill="auto"/>
            <w:vAlign w:val="center"/>
          </w:tcPr>
          <w:p w14:paraId="0B1DE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334" w:type="dxa"/>
            <w:shd w:val="clear" w:color="auto" w:fill="auto"/>
            <w:vAlign w:val="center"/>
          </w:tcPr>
          <w:p w14:paraId="1A858D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是否符合项目预算批复或合同规定的用途；每发现一项不完备的，扣25%分值，扣完为止。</w:t>
            </w:r>
          </w:p>
        </w:tc>
        <w:tc>
          <w:tcPr>
            <w:tcW w:w="1166" w:type="dxa"/>
            <w:shd w:val="clear" w:color="auto" w:fill="auto"/>
            <w:vAlign w:val="center"/>
          </w:tcPr>
          <w:p w14:paraId="74B7A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84" w:type="dxa"/>
            <w:shd w:val="clear" w:color="auto" w:fill="auto"/>
            <w:vAlign w:val="center"/>
          </w:tcPr>
          <w:p w14:paraId="39BD2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550" w:type="dxa"/>
            <w:vMerge w:val="continue"/>
            <w:shd w:val="clear" w:color="auto" w:fill="auto"/>
            <w:vAlign w:val="center"/>
          </w:tcPr>
          <w:p w14:paraId="09AEE52A">
            <w:pPr>
              <w:jc w:val="center"/>
              <w:rPr>
                <w:rFonts w:hint="eastAsia" w:ascii="宋体" w:hAnsi="宋体" w:eastAsia="宋体" w:cs="宋体"/>
                <w:i w:val="0"/>
                <w:iCs w:val="0"/>
                <w:color w:val="000000"/>
                <w:sz w:val="22"/>
                <w:szCs w:val="22"/>
                <w:u w:val="none"/>
              </w:rPr>
            </w:pPr>
          </w:p>
        </w:tc>
      </w:tr>
      <w:tr w14:paraId="037B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4" w:type="dxa"/>
            <w:vMerge w:val="continue"/>
            <w:shd w:val="clear" w:color="auto" w:fill="auto"/>
            <w:vAlign w:val="center"/>
          </w:tcPr>
          <w:p w14:paraId="58F4D6D1">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77C50FFA">
            <w:pPr>
              <w:jc w:val="center"/>
              <w:rPr>
                <w:rFonts w:hint="eastAsia" w:ascii="宋体" w:hAnsi="宋体" w:eastAsia="宋体" w:cs="宋体"/>
                <w:i w:val="0"/>
                <w:iCs w:val="0"/>
                <w:color w:val="000000"/>
                <w:sz w:val="22"/>
                <w:szCs w:val="22"/>
                <w:u w:val="none"/>
              </w:rPr>
            </w:pPr>
          </w:p>
        </w:tc>
        <w:tc>
          <w:tcPr>
            <w:tcW w:w="854" w:type="dxa"/>
            <w:vMerge w:val="continue"/>
            <w:shd w:val="clear" w:color="auto" w:fill="auto"/>
            <w:vAlign w:val="center"/>
          </w:tcPr>
          <w:p w14:paraId="469BCABA">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765B4288">
            <w:pPr>
              <w:jc w:val="center"/>
              <w:rPr>
                <w:rFonts w:hint="eastAsia" w:ascii="宋体" w:hAnsi="宋体" w:eastAsia="宋体" w:cs="宋体"/>
                <w:i w:val="0"/>
                <w:iCs w:val="0"/>
                <w:color w:val="000000"/>
                <w:sz w:val="22"/>
                <w:szCs w:val="22"/>
                <w:u w:val="none"/>
              </w:rPr>
            </w:pPr>
          </w:p>
        </w:tc>
        <w:tc>
          <w:tcPr>
            <w:tcW w:w="1244" w:type="dxa"/>
            <w:vMerge w:val="continue"/>
            <w:shd w:val="clear" w:color="auto" w:fill="auto"/>
            <w:vAlign w:val="center"/>
          </w:tcPr>
          <w:p w14:paraId="339A2874">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09074E3D">
            <w:pPr>
              <w:jc w:val="center"/>
              <w:rPr>
                <w:rFonts w:hint="eastAsia" w:ascii="宋体" w:hAnsi="宋体" w:eastAsia="宋体" w:cs="宋体"/>
                <w:i w:val="0"/>
                <w:iCs w:val="0"/>
                <w:color w:val="000000"/>
                <w:sz w:val="22"/>
                <w:szCs w:val="22"/>
                <w:u w:val="none"/>
              </w:rPr>
            </w:pPr>
          </w:p>
        </w:tc>
        <w:tc>
          <w:tcPr>
            <w:tcW w:w="809" w:type="dxa"/>
            <w:shd w:val="clear" w:color="auto" w:fill="auto"/>
            <w:vAlign w:val="center"/>
          </w:tcPr>
          <w:p w14:paraId="6ABF7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334" w:type="dxa"/>
            <w:shd w:val="clear" w:color="auto" w:fill="auto"/>
            <w:vAlign w:val="center"/>
          </w:tcPr>
          <w:p w14:paraId="328829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是否未存在截留、挤占、挪用、虚列支出等情况。每发现一项不完备的，扣25%分值，扣完为止。</w:t>
            </w:r>
          </w:p>
        </w:tc>
        <w:tc>
          <w:tcPr>
            <w:tcW w:w="1166" w:type="dxa"/>
            <w:shd w:val="clear" w:color="auto" w:fill="auto"/>
            <w:vAlign w:val="center"/>
          </w:tcPr>
          <w:p w14:paraId="5AFF8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84" w:type="dxa"/>
            <w:shd w:val="clear" w:color="auto" w:fill="auto"/>
            <w:vAlign w:val="center"/>
          </w:tcPr>
          <w:p w14:paraId="057B5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550" w:type="dxa"/>
            <w:vMerge w:val="continue"/>
            <w:shd w:val="clear" w:color="auto" w:fill="auto"/>
            <w:vAlign w:val="center"/>
          </w:tcPr>
          <w:p w14:paraId="4A20D258">
            <w:pPr>
              <w:jc w:val="center"/>
              <w:rPr>
                <w:rFonts w:hint="eastAsia" w:ascii="宋体" w:hAnsi="宋体" w:eastAsia="宋体" w:cs="宋体"/>
                <w:i w:val="0"/>
                <w:iCs w:val="0"/>
                <w:color w:val="000000"/>
                <w:sz w:val="22"/>
                <w:szCs w:val="22"/>
                <w:u w:val="none"/>
              </w:rPr>
            </w:pPr>
          </w:p>
        </w:tc>
      </w:tr>
      <w:tr w14:paraId="4F14F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4" w:type="dxa"/>
            <w:vMerge w:val="continue"/>
            <w:shd w:val="clear" w:color="auto" w:fill="auto"/>
            <w:vAlign w:val="center"/>
          </w:tcPr>
          <w:p w14:paraId="3D0E1EEE">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480E3A2F">
            <w:pPr>
              <w:jc w:val="center"/>
              <w:rPr>
                <w:rFonts w:hint="eastAsia" w:ascii="宋体" w:hAnsi="宋体" w:eastAsia="宋体" w:cs="宋体"/>
                <w:i w:val="0"/>
                <w:iCs w:val="0"/>
                <w:color w:val="000000"/>
                <w:sz w:val="22"/>
                <w:szCs w:val="22"/>
                <w:u w:val="none"/>
              </w:rPr>
            </w:pPr>
          </w:p>
        </w:tc>
        <w:tc>
          <w:tcPr>
            <w:tcW w:w="854" w:type="dxa"/>
            <w:vMerge w:val="restart"/>
            <w:shd w:val="clear" w:color="auto" w:fill="auto"/>
            <w:vAlign w:val="center"/>
          </w:tcPr>
          <w:p w14:paraId="4AB37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组织实施</w:t>
            </w:r>
          </w:p>
        </w:tc>
        <w:tc>
          <w:tcPr>
            <w:tcW w:w="660" w:type="dxa"/>
            <w:vMerge w:val="restart"/>
            <w:shd w:val="clear" w:color="auto" w:fill="auto"/>
            <w:vAlign w:val="center"/>
          </w:tcPr>
          <w:p w14:paraId="18817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44" w:type="dxa"/>
            <w:vMerge w:val="restart"/>
            <w:shd w:val="clear" w:color="auto" w:fill="auto"/>
            <w:vAlign w:val="center"/>
          </w:tcPr>
          <w:p w14:paraId="6CF54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项目采购规范性</w:t>
            </w:r>
          </w:p>
        </w:tc>
        <w:tc>
          <w:tcPr>
            <w:tcW w:w="660" w:type="dxa"/>
            <w:vMerge w:val="restart"/>
            <w:shd w:val="clear" w:color="auto" w:fill="auto"/>
            <w:vAlign w:val="center"/>
          </w:tcPr>
          <w:p w14:paraId="57AF9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09" w:type="dxa"/>
            <w:shd w:val="clear" w:color="auto" w:fill="auto"/>
            <w:vAlign w:val="center"/>
          </w:tcPr>
          <w:p w14:paraId="03911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34" w:type="dxa"/>
            <w:shd w:val="clear" w:color="auto" w:fill="auto"/>
            <w:vAlign w:val="center"/>
          </w:tcPr>
          <w:p w14:paraId="38307F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项目采购是否执行了内部决策程序；每发现一项不完备的，扣25%分值，扣完为止。</w:t>
            </w:r>
          </w:p>
        </w:tc>
        <w:tc>
          <w:tcPr>
            <w:tcW w:w="1166" w:type="dxa"/>
            <w:shd w:val="clear" w:color="auto" w:fill="auto"/>
            <w:vAlign w:val="center"/>
          </w:tcPr>
          <w:p w14:paraId="68D38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84" w:type="dxa"/>
            <w:shd w:val="clear" w:color="auto" w:fill="auto"/>
            <w:vAlign w:val="center"/>
          </w:tcPr>
          <w:p w14:paraId="1A7BC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0" w:type="dxa"/>
            <w:vMerge w:val="continue"/>
            <w:shd w:val="clear" w:color="auto" w:fill="auto"/>
            <w:vAlign w:val="center"/>
          </w:tcPr>
          <w:p w14:paraId="2AEE2776">
            <w:pPr>
              <w:jc w:val="center"/>
              <w:rPr>
                <w:rFonts w:hint="eastAsia" w:ascii="宋体" w:hAnsi="宋体" w:eastAsia="宋体" w:cs="宋体"/>
                <w:i w:val="0"/>
                <w:iCs w:val="0"/>
                <w:color w:val="000000"/>
                <w:sz w:val="22"/>
                <w:szCs w:val="22"/>
                <w:u w:val="none"/>
              </w:rPr>
            </w:pPr>
          </w:p>
        </w:tc>
      </w:tr>
      <w:tr w14:paraId="02E0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4" w:type="dxa"/>
            <w:vMerge w:val="continue"/>
            <w:shd w:val="clear" w:color="auto" w:fill="auto"/>
            <w:vAlign w:val="center"/>
          </w:tcPr>
          <w:p w14:paraId="2183A995">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0D66D9E9">
            <w:pPr>
              <w:jc w:val="center"/>
              <w:rPr>
                <w:rFonts w:hint="eastAsia" w:ascii="宋体" w:hAnsi="宋体" w:eastAsia="宋体" w:cs="宋体"/>
                <w:i w:val="0"/>
                <w:iCs w:val="0"/>
                <w:color w:val="000000"/>
                <w:sz w:val="22"/>
                <w:szCs w:val="22"/>
                <w:u w:val="none"/>
              </w:rPr>
            </w:pPr>
          </w:p>
        </w:tc>
        <w:tc>
          <w:tcPr>
            <w:tcW w:w="854" w:type="dxa"/>
            <w:vMerge w:val="continue"/>
            <w:shd w:val="clear" w:color="auto" w:fill="auto"/>
            <w:vAlign w:val="center"/>
          </w:tcPr>
          <w:p w14:paraId="29823FFC">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2FED1A0A">
            <w:pPr>
              <w:jc w:val="center"/>
              <w:rPr>
                <w:rFonts w:hint="eastAsia" w:ascii="宋体" w:hAnsi="宋体" w:eastAsia="宋体" w:cs="宋体"/>
                <w:i w:val="0"/>
                <w:iCs w:val="0"/>
                <w:color w:val="000000"/>
                <w:sz w:val="22"/>
                <w:szCs w:val="22"/>
                <w:u w:val="none"/>
              </w:rPr>
            </w:pPr>
          </w:p>
        </w:tc>
        <w:tc>
          <w:tcPr>
            <w:tcW w:w="1244" w:type="dxa"/>
            <w:vMerge w:val="continue"/>
            <w:shd w:val="clear" w:color="auto" w:fill="auto"/>
            <w:vAlign w:val="center"/>
          </w:tcPr>
          <w:p w14:paraId="2CB849D0">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752CB016">
            <w:pPr>
              <w:jc w:val="center"/>
              <w:rPr>
                <w:rFonts w:hint="eastAsia" w:ascii="宋体" w:hAnsi="宋体" w:eastAsia="宋体" w:cs="宋体"/>
                <w:i w:val="0"/>
                <w:iCs w:val="0"/>
                <w:color w:val="000000"/>
                <w:sz w:val="22"/>
                <w:szCs w:val="22"/>
                <w:u w:val="none"/>
              </w:rPr>
            </w:pPr>
          </w:p>
        </w:tc>
        <w:tc>
          <w:tcPr>
            <w:tcW w:w="809" w:type="dxa"/>
            <w:shd w:val="clear" w:color="auto" w:fill="auto"/>
            <w:vAlign w:val="center"/>
          </w:tcPr>
          <w:p w14:paraId="077DC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34" w:type="dxa"/>
            <w:shd w:val="clear" w:color="auto" w:fill="auto"/>
            <w:vAlign w:val="center"/>
          </w:tcPr>
          <w:p w14:paraId="2371AD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项目是否按照相关政策执行政府采购程序或通过“绿色通道”采购，项目采购方式是否符合规定；每发现一项不完备的，扣25%分值，扣完为止。</w:t>
            </w:r>
          </w:p>
        </w:tc>
        <w:tc>
          <w:tcPr>
            <w:tcW w:w="1166" w:type="dxa"/>
            <w:shd w:val="clear" w:color="auto" w:fill="auto"/>
            <w:vAlign w:val="center"/>
          </w:tcPr>
          <w:p w14:paraId="5AC8B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84" w:type="dxa"/>
            <w:shd w:val="clear" w:color="auto" w:fill="auto"/>
            <w:vAlign w:val="center"/>
          </w:tcPr>
          <w:p w14:paraId="55DBE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0" w:type="dxa"/>
            <w:vMerge w:val="continue"/>
            <w:shd w:val="clear" w:color="auto" w:fill="auto"/>
            <w:vAlign w:val="center"/>
          </w:tcPr>
          <w:p w14:paraId="48BEABDB">
            <w:pPr>
              <w:jc w:val="center"/>
              <w:rPr>
                <w:rFonts w:hint="eastAsia" w:ascii="宋体" w:hAnsi="宋体" w:eastAsia="宋体" w:cs="宋体"/>
                <w:i w:val="0"/>
                <w:iCs w:val="0"/>
                <w:color w:val="000000"/>
                <w:sz w:val="22"/>
                <w:szCs w:val="22"/>
                <w:u w:val="none"/>
              </w:rPr>
            </w:pPr>
          </w:p>
        </w:tc>
      </w:tr>
      <w:tr w14:paraId="12A0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854" w:type="dxa"/>
            <w:vMerge w:val="continue"/>
            <w:shd w:val="clear" w:color="auto" w:fill="auto"/>
            <w:vAlign w:val="center"/>
          </w:tcPr>
          <w:p w14:paraId="577E8668">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4324F9EB">
            <w:pPr>
              <w:jc w:val="center"/>
              <w:rPr>
                <w:rFonts w:hint="eastAsia" w:ascii="宋体" w:hAnsi="宋体" w:eastAsia="宋体" w:cs="宋体"/>
                <w:i w:val="0"/>
                <w:iCs w:val="0"/>
                <w:color w:val="000000"/>
                <w:sz w:val="22"/>
                <w:szCs w:val="22"/>
                <w:u w:val="none"/>
              </w:rPr>
            </w:pPr>
          </w:p>
        </w:tc>
        <w:tc>
          <w:tcPr>
            <w:tcW w:w="854" w:type="dxa"/>
            <w:vMerge w:val="continue"/>
            <w:shd w:val="clear" w:color="auto" w:fill="auto"/>
            <w:vAlign w:val="center"/>
          </w:tcPr>
          <w:p w14:paraId="273E083F">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000D6005">
            <w:pPr>
              <w:jc w:val="center"/>
              <w:rPr>
                <w:rFonts w:hint="eastAsia" w:ascii="宋体" w:hAnsi="宋体" w:eastAsia="宋体" w:cs="宋体"/>
                <w:i w:val="0"/>
                <w:iCs w:val="0"/>
                <w:color w:val="000000"/>
                <w:sz w:val="22"/>
                <w:szCs w:val="22"/>
                <w:u w:val="none"/>
              </w:rPr>
            </w:pPr>
          </w:p>
        </w:tc>
        <w:tc>
          <w:tcPr>
            <w:tcW w:w="1244" w:type="dxa"/>
            <w:vMerge w:val="continue"/>
            <w:shd w:val="clear" w:color="auto" w:fill="auto"/>
            <w:vAlign w:val="center"/>
          </w:tcPr>
          <w:p w14:paraId="11763002">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502DF42D">
            <w:pPr>
              <w:jc w:val="center"/>
              <w:rPr>
                <w:rFonts w:hint="eastAsia" w:ascii="宋体" w:hAnsi="宋体" w:eastAsia="宋体" w:cs="宋体"/>
                <w:i w:val="0"/>
                <w:iCs w:val="0"/>
                <w:color w:val="000000"/>
                <w:sz w:val="22"/>
                <w:szCs w:val="22"/>
                <w:u w:val="none"/>
              </w:rPr>
            </w:pPr>
          </w:p>
        </w:tc>
        <w:tc>
          <w:tcPr>
            <w:tcW w:w="809" w:type="dxa"/>
            <w:shd w:val="clear" w:color="auto" w:fill="auto"/>
            <w:vAlign w:val="center"/>
          </w:tcPr>
          <w:p w14:paraId="36A33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34" w:type="dxa"/>
            <w:shd w:val="clear" w:color="auto" w:fill="auto"/>
            <w:vAlign w:val="center"/>
          </w:tcPr>
          <w:p w14:paraId="653869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项目采购是否履行了必要的验收；每发现一项不完备的，扣25%分值，扣完为止。</w:t>
            </w:r>
          </w:p>
        </w:tc>
        <w:tc>
          <w:tcPr>
            <w:tcW w:w="1166" w:type="dxa"/>
            <w:shd w:val="clear" w:color="auto" w:fill="auto"/>
            <w:vAlign w:val="center"/>
          </w:tcPr>
          <w:p w14:paraId="1A56F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84" w:type="dxa"/>
            <w:shd w:val="clear" w:color="auto" w:fill="auto"/>
            <w:vAlign w:val="center"/>
          </w:tcPr>
          <w:p w14:paraId="16022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0" w:type="dxa"/>
            <w:vMerge w:val="continue"/>
            <w:shd w:val="clear" w:color="auto" w:fill="auto"/>
            <w:vAlign w:val="center"/>
          </w:tcPr>
          <w:p w14:paraId="4DB0C0FF">
            <w:pPr>
              <w:jc w:val="center"/>
              <w:rPr>
                <w:rFonts w:hint="eastAsia" w:ascii="宋体" w:hAnsi="宋体" w:eastAsia="宋体" w:cs="宋体"/>
                <w:i w:val="0"/>
                <w:iCs w:val="0"/>
                <w:color w:val="000000"/>
                <w:sz w:val="22"/>
                <w:szCs w:val="22"/>
                <w:u w:val="none"/>
              </w:rPr>
            </w:pPr>
          </w:p>
        </w:tc>
      </w:tr>
      <w:tr w14:paraId="1DE0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4" w:type="dxa"/>
            <w:vMerge w:val="continue"/>
            <w:shd w:val="clear" w:color="auto" w:fill="auto"/>
            <w:vAlign w:val="center"/>
          </w:tcPr>
          <w:p w14:paraId="437260CB">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6B2B0175">
            <w:pPr>
              <w:jc w:val="center"/>
              <w:rPr>
                <w:rFonts w:hint="eastAsia" w:ascii="宋体" w:hAnsi="宋体" w:eastAsia="宋体" w:cs="宋体"/>
                <w:i w:val="0"/>
                <w:iCs w:val="0"/>
                <w:color w:val="000000"/>
                <w:sz w:val="22"/>
                <w:szCs w:val="22"/>
                <w:u w:val="none"/>
              </w:rPr>
            </w:pPr>
          </w:p>
        </w:tc>
        <w:tc>
          <w:tcPr>
            <w:tcW w:w="854" w:type="dxa"/>
            <w:vMerge w:val="continue"/>
            <w:shd w:val="clear" w:color="auto" w:fill="auto"/>
            <w:vAlign w:val="center"/>
          </w:tcPr>
          <w:p w14:paraId="2255EA20">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094C6492">
            <w:pPr>
              <w:jc w:val="center"/>
              <w:rPr>
                <w:rFonts w:hint="eastAsia" w:ascii="宋体" w:hAnsi="宋体" w:eastAsia="宋体" w:cs="宋体"/>
                <w:i w:val="0"/>
                <w:iCs w:val="0"/>
                <w:color w:val="000000"/>
                <w:sz w:val="22"/>
                <w:szCs w:val="22"/>
                <w:u w:val="none"/>
              </w:rPr>
            </w:pPr>
          </w:p>
        </w:tc>
        <w:tc>
          <w:tcPr>
            <w:tcW w:w="1244" w:type="dxa"/>
            <w:vMerge w:val="continue"/>
            <w:shd w:val="clear" w:color="auto" w:fill="auto"/>
            <w:vAlign w:val="center"/>
          </w:tcPr>
          <w:p w14:paraId="7B4811B4">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2B64CDB2">
            <w:pPr>
              <w:jc w:val="center"/>
              <w:rPr>
                <w:rFonts w:hint="eastAsia" w:ascii="宋体" w:hAnsi="宋体" w:eastAsia="宋体" w:cs="宋体"/>
                <w:i w:val="0"/>
                <w:iCs w:val="0"/>
                <w:color w:val="000000"/>
                <w:sz w:val="22"/>
                <w:szCs w:val="22"/>
                <w:u w:val="none"/>
              </w:rPr>
            </w:pPr>
          </w:p>
        </w:tc>
        <w:tc>
          <w:tcPr>
            <w:tcW w:w="809" w:type="dxa"/>
            <w:shd w:val="clear" w:color="auto" w:fill="auto"/>
            <w:vAlign w:val="center"/>
          </w:tcPr>
          <w:p w14:paraId="7164E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34" w:type="dxa"/>
            <w:shd w:val="clear" w:color="auto" w:fill="auto"/>
            <w:vAlign w:val="center"/>
          </w:tcPr>
          <w:p w14:paraId="1B9E45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项目采购结算是否准确、合理；每发现一项不完备的，扣25%分值，扣完为止。</w:t>
            </w:r>
          </w:p>
        </w:tc>
        <w:tc>
          <w:tcPr>
            <w:tcW w:w="1166" w:type="dxa"/>
            <w:shd w:val="clear" w:color="auto" w:fill="auto"/>
            <w:vAlign w:val="center"/>
          </w:tcPr>
          <w:p w14:paraId="7175D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84" w:type="dxa"/>
            <w:shd w:val="clear" w:color="auto" w:fill="auto"/>
            <w:vAlign w:val="center"/>
          </w:tcPr>
          <w:p w14:paraId="7A82D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0" w:type="dxa"/>
            <w:vMerge w:val="continue"/>
            <w:shd w:val="clear" w:color="auto" w:fill="auto"/>
            <w:vAlign w:val="center"/>
          </w:tcPr>
          <w:p w14:paraId="36D58216">
            <w:pPr>
              <w:jc w:val="center"/>
              <w:rPr>
                <w:rFonts w:hint="eastAsia" w:ascii="宋体" w:hAnsi="宋体" w:eastAsia="宋体" w:cs="宋体"/>
                <w:i w:val="0"/>
                <w:iCs w:val="0"/>
                <w:color w:val="000000"/>
                <w:sz w:val="22"/>
                <w:szCs w:val="22"/>
                <w:u w:val="none"/>
              </w:rPr>
            </w:pPr>
          </w:p>
        </w:tc>
      </w:tr>
      <w:tr w14:paraId="2B13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4" w:type="dxa"/>
            <w:vMerge w:val="continue"/>
            <w:shd w:val="clear" w:color="auto" w:fill="auto"/>
            <w:vAlign w:val="center"/>
          </w:tcPr>
          <w:p w14:paraId="4FFBE1BA">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66F2C837">
            <w:pPr>
              <w:jc w:val="center"/>
              <w:rPr>
                <w:rFonts w:hint="eastAsia" w:ascii="宋体" w:hAnsi="宋体" w:eastAsia="宋体" w:cs="宋体"/>
                <w:i w:val="0"/>
                <w:iCs w:val="0"/>
                <w:color w:val="000000"/>
                <w:sz w:val="22"/>
                <w:szCs w:val="22"/>
                <w:u w:val="none"/>
              </w:rPr>
            </w:pPr>
          </w:p>
        </w:tc>
        <w:tc>
          <w:tcPr>
            <w:tcW w:w="854" w:type="dxa"/>
            <w:vMerge w:val="continue"/>
            <w:shd w:val="clear" w:color="auto" w:fill="auto"/>
            <w:vAlign w:val="center"/>
          </w:tcPr>
          <w:p w14:paraId="52C7317F">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31BE85CE">
            <w:pPr>
              <w:jc w:val="center"/>
              <w:rPr>
                <w:rFonts w:hint="eastAsia" w:ascii="宋体" w:hAnsi="宋体" w:eastAsia="宋体" w:cs="宋体"/>
                <w:i w:val="0"/>
                <w:iCs w:val="0"/>
                <w:color w:val="000000"/>
                <w:sz w:val="22"/>
                <w:szCs w:val="22"/>
                <w:u w:val="none"/>
              </w:rPr>
            </w:pPr>
          </w:p>
        </w:tc>
        <w:tc>
          <w:tcPr>
            <w:tcW w:w="1244" w:type="dxa"/>
            <w:vMerge w:val="continue"/>
            <w:shd w:val="clear" w:color="auto" w:fill="auto"/>
            <w:vAlign w:val="center"/>
          </w:tcPr>
          <w:p w14:paraId="7BE4AF3D">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31389734">
            <w:pPr>
              <w:jc w:val="center"/>
              <w:rPr>
                <w:rFonts w:hint="eastAsia" w:ascii="宋体" w:hAnsi="宋体" w:eastAsia="宋体" w:cs="宋体"/>
                <w:i w:val="0"/>
                <w:iCs w:val="0"/>
                <w:color w:val="000000"/>
                <w:sz w:val="22"/>
                <w:szCs w:val="22"/>
                <w:u w:val="none"/>
              </w:rPr>
            </w:pPr>
          </w:p>
        </w:tc>
        <w:tc>
          <w:tcPr>
            <w:tcW w:w="809" w:type="dxa"/>
            <w:shd w:val="clear" w:color="auto" w:fill="auto"/>
            <w:vAlign w:val="center"/>
          </w:tcPr>
          <w:p w14:paraId="38BBC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34" w:type="dxa"/>
            <w:shd w:val="clear" w:color="auto" w:fill="auto"/>
            <w:vAlign w:val="center"/>
          </w:tcPr>
          <w:p w14:paraId="67215D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采购货物入库、领用登记是否及时、准确。每发现一项不完备的，扣25%分值，扣完为止。</w:t>
            </w:r>
          </w:p>
        </w:tc>
        <w:tc>
          <w:tcPr>
            <w:tcW w:w="1166" w:type="dxa"/>
            <w:shd w:val="clear" w:color="auto" w:fill="auto"/>
            <w:vAlign w:val="center"/>
          </w:tcPr>
          <w:p w14:paraId="6C46D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984" w:type="dxa"/>
            <w:shd w:val="clear" w:color="auto" w:fill="auto"/>
            <w:vAlign w:val="center"/>
          </w:tcPr>
          <w:p w14:paraId="4DDB3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0" w:type="dxa"/>
            <w:vMerge w:val="continue"/>
            <w:shd w:val="clear" w:color="auto" w:fill="auto"/>
            <w:vAlign w:val="center"/>
          </w:tcPr>
          <w:p w14:paraId="59B0907B">
            <w:pPr>
              <w:jc w:val="center"/>
              <w:rPr>
                <w:rFonts w:hint="eastAsia" w:ascii="宋体" w:hAnsi="宋体" w:eastAsia="宋体" w:cs="宋体"/>
                <w:i w:val="0"/>
                <w:iCs w:val="0"/>
                <w:color w:val="000000"/>
                <w:sz w:val="22"/>
                <w:szCs w:val="22"/>
                <w:u w:val="none"/>
              </w:rPr>
            </w:pPr>
          </w:p>
        </w:tc>
      </w:tr>
      <w:tr w14:paraId="13188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854" w:type="dxa"/>
            <w:vMerge w:val="continue"/>
            <w:shd w:val="clear" w:color="auto" w:fill="auto"/>
            <w:vAlign w:val="center"/>
          </w:tcPr>
          <w:p w14:paraId="0297AA7D">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3E965D27">
            <w:pPr>
              <w:jc w:val="center"/>
              <w:rPr>
                <w:rFonts w:hint="eastAsia" w:ascii="宋体" w:hAnsi="宋体" w:eastAsia="宋体" w:cs="宋体"/>
                <w:i w:val="0"/>
                <w:iCs w:val="0"/>
                <w:color w:val="000000"/>
                <w:sz w:val="22"/>
                <w:szCs w:val="22"/>
                <w:u w:val="none"/>
              </w:rPr>
            </w:pPr>
          </w:p>
        </w:tc>
        <w:tc>
          <w:tcPr>
            <w:tcW w:w="854" w:type="dxa"/>
            <w:vMerge w:val="continue"/>
            <w:shd w:val="clear" w:color="auto" w:fill="auto"/>
            <w:vAlign w:val="center"/>
          </w:tcPr>
          <w:p w14:paraId="223AFB93">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487120EB">
            <w:pPr>
              <w:jc w:val="center"/>
              <w:rPr>
                <w:rFonts w:hint="eastAsia" w:ascii="宋体" w:hAnsi="宋体" w:eastAsia="宋体" w:cs="宋体"/>
                <w:i w:val="0"/>
                <w:iCs w:val="0"/>
                <w:color w:val="000000"/>
                <w:sz w:val="22"/>
                <w:szCs w:val="22"/>
                <w:u w:val="none"/>
              </w:rPr>
            </w:pPr>
          </w:p>
        </w:tc>
        <w:tc>
          <w:tcPr>
            <w:tcW w:w="1244" w:type="dxa"/>
            <w:vMerge w:val="restart"/>
            <w:shd w:val="clear" w:color="auto" w:fill="auto"/>
            <w:vAlign w:val="center"/>
          </w:tcPr>
          <w:p w14:paraId="63DD1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管理制度健全性</w:t>
            </w:r>
          </w:p>
        </w:tc>
        <w:tc>
          <w:tcPr>
            <w:tcW w:w="660" w:type="dxa"/>
            <w:vMerge w:val="restart"/>
            <w:shd w:val="clear" w:color="auto" w:fill="auto"/>
            <w:vAlign w:val="center"/>
          </w:tcPr>
          <w:p w14:paraId="12E53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09" w:type="dxa"/>
            <w:shd w:val="clear" w:color="auto" w:fill="auto"/>
            <w:vAlign w:val="center"/>
          </w:tcPr>
          <w:p w14:paraId="52A31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34" w:type="dxa"/>
            <w:shd w:val="clear" w:color="auto" w:fill="auto"/>
            <w:vAlign w:val="center"/>
          </w:tcPr>
          <w:p w14:paraId="6FB9E1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是否已制定或具有相应的财务和业务管理制度；每发现一项不完备的，扣25%分值，扣完为止。</w:t>
            </w:r>
          </w:p>
        </w:tc>
        <w:tc>
          <w:tcPr>
            <w:tcW w:w="1166" w:type="dxa"/>
            <w:shd w:val="clear" w:color="auto" w:fill="auto"/>
            <w:vAlign w:val="center"/>
          </w:tcPr>
          <w:p w14:paraId="0EC85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否</w:t>
            </w:r>
          </w:p>
        </w:tc>
        <w:tc>
          <w:tcPr>
            <w:tcW w:w="984" w:type="dxa"/>
            <w:shd w:val="clear" w:color="auto" w:fill="auto"/>
            <w:vAlign w:val="center"/>
          </w:tcPr>
          <w:p w14:paraId="2716D4E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0.5</w:t>
            </w:r>
          </w:p>
        </w:tc>
        <w:tc>
          <w:tcPr>
            <w:tcW w:w="1550" w:type="dxa"/>
            <w:vMerge w:val="continue"/>
            <w:shd w:val="clear" w:color="auto" w:fill="auto"/>
            <w:vAlign w:val="center"/>
          </w:tcPr>
          <w:p w14:paraId="08FC9D05">
            <w:pPr>
              <w:jc w:val="center"/>
              <w:rPr>
                <w:rFonts w:hint="eastAsia" w:ascii="宋体" w:hAnsi="宋体" w:eastAsia="宋体" w:cs="宋体"/>
                <w:i w:val="0"/>
                <w:iCs w:val="0"/>
                <w:color w:val="000000"/>
                <w:sz w:val="22"/>
                <w:szCs w:val="22"/>
                <w:u w:val="none"/>
              </w:rPr>
            </w:pPr>
          </w:p>
        </w:tc>
      </w:tr>
      <w:tr w14:paraId="7762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4" w:type="dxa"/>
            <w:vMerge w:val="continue"/>
            <w:shd w:val="clear" w:color="auto" w:fill="auto"/>
            <w:vAlign w:val="center"/>
          </w:tcPr>
          <w:p w14:paraId="29AF6506">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12D8D586">
            <w:pPr>
              <w:jc w:val="center"/>
              <w:rPr>
                <w:rFonts w:hint="eastAsia" w:ascii="宋体" w:hAnsi="宋体" w:eastAsia="宋体" w:cs="宋体"/>
                <w:i w:val="0"/>
                <w:iCs w:val="0"/>
                <w:color w:val="000000"/>
                <w:sz w:val="22"/>
                <w:szCs w:val="22"/>
                <w:u w:val="none"/>
              </w:rPr>
            </w:pPr>
          </w:p>
        </w:tc>
        <w:tc>
          <w:tcPr>
            <w:tcW w:w="854" w:type="dxa"/>
            <w:vMerge w:val="continue"/>
            <w:shd w:val="clear" w:color="auto" w:fill="auto"/>
            <w:vAlign w:val="center"/>
          </w:tcPr>
          <w:p w14:paraId="7B75D3BE">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0FAA7AD6">
            <w:pPr>
              <w:jc w:val="center"/>
              <w:rPr>
                <w:rFonts w:hint="eastAsia" w:ascii="宋体" w:hAnsi="宋体" w:eastAsia="宋体" w:cs="宋体"/>
                <w:i w:val="0"/>
                <w:iCs w:val="0"/>
                <w:color w:val="000000"/>
                <w:sz w:val="22"/>
                <w:szCs w:val="22"/>
                <w:u w:val="none"/>
              </w:rPr>
            </w:pPr>
          </w:p>
        </w:tc>
        <w:tc>
          <w:tcPr>
            <w:tcW w:w="1244" w:type="dxa"/>
            <w:vMerge w:val="continue"/>
            <w:shd w:val="clear" w:color="auto" w:fill="auto"/>
            <w:vAlign w:val="center"/>
          </w:tcPr>
          <w:p w14:paraId="2F0FE242">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030A3872">
            <w:pPr>
              <w:jc w:val="center"/>
              <w:rPr>
                <w:rFonts w:hint="eastAsia" w:ascii="宋体" w:hAnsi="宋体" w:eastAsia="宋体" w:cs="宋体"/>
                <w:i w:val="0"/>
                <w:iCs w:val="0"/>
                <w:color w:val="000000"/>
                <w:sz w:val="22"/>
                <w:szCs w:val="22"/>
                <w:u w:val="none"/>
              </w:rPr>
            </w:pPr>
          </w:p>
        </w:tc>
        <w:tc>
          <w:tcPr>
            <w:tcW w:w="809" w:type="dxa"/>
            <w:shd w:val="clear" w:color="auto" w:fill="auto"/>
            <w:vAlign w:val="center"/>
          </w:tcPr>
          <w:p w14:paraId="4C003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34" w:type="dxa"/>
            <w:shd w:val="clear" w:color="auto" w:fill="auto"/>
            <w:vAlign w:val="center"/>
          </w:tcPr>
          <w:p w14:paraId="0C630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财务和业务管理制度是否合法、合规、完整。每发现一项不完备的，扣25%分值，扣完为止。</w:t>
            </w:r>
          </w:p>
        </w:tc>
        <w:tc>
          <w:tcPr>
            <w:tcW w:w="1166" w:type="dxa"/>
            <w:shd w:val="clear" w:color="auto" w:fill="auto"/>
            <w:vAlign w:val="center"/>
          </w:tcPr>
          <w:p w14:paraId="3A423F9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是</w:t>
            </w:r>
          </w:p>
        </w:tc>
        <w:tc>
          <w:tcPr>
            <w:tcW w:w="984" w:type="dxa"/>
            <w:shd w:val="clear" w:color="auto" w:fill="auto"/>
            <w:vAlign w:val="center"/>
          </w:tcPr>
          <w:p w14:paraId="3DD79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1550" w:type="dxa"/>
            <w:vMerge w:val="continue"/>
            <w:shd w:val="clear" w:color="auto" w:fill="auto"/>
            <w:vAlign w:val="center"/>
          </w:tcPr>
          <w:p w14:paraId="7B3255D7">
            <w:pPr>
              <w:jc w:val="center"/>
              <w:rPr>
                <w:rFonts w:hint="eastAsia" w:ascii="宋体" w:hAnsi="宋体" w:eastAsia="宋体" w:cs="宋体"/>
                <w:i w:val="0"/>
                <w:iCs w:val="0"/>
                <w:color w:val="000000"/>
                <w:sz w:val="22"/>
                <w:szCs w:val="22"/>
                <w:u w:val="none"/>
              </w:rPr>
            </w:pPr>
          </w:p>
        </w:tc>
      </w:tr>
      <w:tr w14:paraId="60099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4" w:type="dxa"/>
            <w:vMerge w:val="continue"/>
            <w:shd w:val="clear" w:color="auto" w:fill="auto"/>
            <w:vAlign w:val="center"/>
          </w:tcPr>
          <w:p w14:paraId="52E9A007">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7687E91E">
            <w:pPr>
              <w:jc w:val="center"/>
              <w:rPr>
                <w:rFonts w:hint="eastAsia" w:ascii="宋体" w:hAnsi="宋体" w:eastAsia="宋体" w:cs="宋体"/>
                <w:i w:val="0"/>
                <w:iCs w:val="0"/>
                <w:color w:val="000000"/>
                <w:sz w:val="22"/>
                <w:szCs w:val="22"/>
                <w:u w:val="none"/>
              </w:rPr>
            </w:pPr>
          </w:p>
        </w:tc>
        <w:tc>
          <w:tcPr>
            <w:tcW w:w="854" w:type="dxa"/>
            <w:vMerge w:val="continue"/>
            <w:shd w:val="clear" w:color="auto" w:fill="auto"/>
            <w:vAlign w:val="center"/>
          </w:tcPr>
          <w:p w14:paraId="79B5BC4B">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12952F96">
            <w:pPr>
              <w:jc w:val="center"/>
              <w:rPr>
                <w:rFonts w:hint="eastAsia" w:ascii="宋体" w:hAnsi="宋体" w:eastAsia="宋体" w:cs="宋体"/>
                <w:i w:val="0"/>
                <w:iCs w:val="0"/>
                <w:color w:val="000000"/>
                <w:sz w:val="22"/>
                <w:szCs w:val="22"/>
                <w:u w:val="none"/>
              </w:rPr>
            </w:pPr>
          </w:p>
        </w:tc>
        <w:tc>
          <w:tcPr>
            <w:tcW w:w="1244" w:type="dxa"/>
            <w:vMerge w:val="restart"/>
            <w:shd w:val="clear" w:color="auto" w:fill="auto"/>
            <w:vAlign w:val="center"/>
          </w:tcPr>
          <w:p w14:paraId="10E9E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绩效自评规范性</w:t>
            </w:r>
          </w:p>
        </w:tc>
        <w:tc>
          <w:tcPr>
            <w:tcW w:w="660" w:type="dxa"/>
            <w:vMerge w:val="restart"/>
            <w:shd w:val="clear" w:color="auto" w:fill="auto"/>
            <w:vAlign w:val="center"/>
          </w:tcPr>
          <w:p w14:paraId="00AC8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09" w:type="dxa"/>
            <w:shd w:val="clear" w:color="auto" w:fill="auto"/>
            <w:vAlign w:val="center"/>
          </w:tcPr>
          <w:p w14:paraId="717D2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334" w:type="dxa"/>
            <w:shd w:val="clear" w:color="auto" w:fill="auto"/>
            <w:vAlign w:val="center"/>
          </w:tcPr>
          <w:p w14:paraId="3F4B5E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项目实施单位是否进行绩效自评，报告及打分表是否完整。每发现一项不完备的，扣25%分值，扣完为止。</w:t>
            </w:r>
          </w:p>
        </w:tc>
        <w:tc>
          <w:tcPr>
            <w:tcW w:w="1166" w:type="dxa"/>
            <w:shd w:val="clear" w:color="auto" w:fill="auto"/>
            <w:vAlign w:val="center"/>
          </w:tcPr>
          <w:p w14:paraId="3090C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否</w:t>
            </w:r>
          </w:p>
        </w:tc>
        <w:tc>
          <w:tcPr>
            <w:tcW w:w="984" w:type="dxa"/>
            <w:shd w:val="clear" w:color="auto" w:fill="auto"/>
            <w:vAlign w:val="center"/>
          </w:tcPr>
          <w:p w14:paraId="65915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1550" w:type="dxa"/>
            <w:vMerge w:val="continue"/>
            <w:shd w:val="clear" w:color="auto" w:fill="auto"/>
            <w:vAlign w:val="center"/>
          </w:tcPr>
          <w:p w14:paraId="2A3E98A8">
            <w:pPr>
              <w:jc w:val="center"/>
              <w:rPr>
                <w:rFonts w:hint="eastAsia" w:ascii="宋体" w:hAnsi="宋体" w:eastAsia="宋体" w:cs="宋体"/>
                <w:i w:val="0"/>
                <w:iCs w:val="0"/>
                <w:color w:val="000000"/>
                <w:sz w:val="22"/>
                <w:szCs w:val="22"/>
                <w:u w:val="none"/>
              </w:rPr>
            </w:pPr>
          </w:p>
        </w:tc>
      </w:tr>
      <w:tr w14:paraId="05881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4" w:type="dxa"/>
            <w:vMerge w:val="continue"/>
            <w:shd w:val="clear" w:color="auto" w:fill="auto"/>
            <w:vAlign w:val="center"/>
          </w:tcPr>
          <w:p w14:paraId="57C2D3C4">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31FB30FD">
            <w:pPr>
              <w:jc w:val="center"/>
              <w:rPr>
                <w:rFonts w:hint="eastAsia" w:ascii="宋体" w:hAnsi="宋体" w:eastAsia="宋体" w:cs="宋体"/>
                <w:i w:val="0"/>
                <w:iCs w:val="0"/>
                <w:color w:val="000000"/>
                <w:sz w:val="22"/>
                <w:szCs w:val="22"/>
                <w:u w:val="none"/>
              </w:rPr>
            </w:pPr>
          </w:p>
        </w:tc>
        <w:tc>
          <w:tcPr>
            <w:tcW w:w="854" w:type="dxa"/>
            <w:vMerge w:val="continue"/>
            <w:shd w:val="clear" w:color="auto" w:fill="auto"/>
            <w:vAlign w:val="center"/>
          </w:tcPr>
          <w:p w14:paraId="108E71D8">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008E4995">
            <w:pPr>
              <w:jc w:val="center"/>
              <w:rPr>
                <w:rFonts w:hint="eastAsia" w:ascii="宋体" w:hAnsi="宋体" w:eastAsia="宋体" w:cs="宋体"/>
                <w:i w:val="0"/>
                <w:iCs w:val="0"/>
                <w:color w:val="000000"/>
                <w:sz w:val="22"/>
                <w:szCs w:val="22"/>
                <w:u w:val="none"/>
              </w:rPr>
            </w:pPr>
          </w:p>
        </w:tc>
        <w:tc>
          <w:tcPr>
            <w:tcW w:w="1244" w:type="dxa"/>
            <w:vMerge w:val="continue"/>
            <w:shd w:val="clear" w:color="auto" w:fill="auto"/>
            <w:vAlign w:val="center"/>
          </w:tcPr>
          <w:p w14:paraId="65F6D070">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3A81682C">
            <w:pPr>
              <w:jc w:val="center"/>
              <w:rPr>
                <w:rFonts w:hint="eastAsia" w:ascii="宋体" w:hAnsi="宋体" w:eastAsia="宋体" w:cs="宋体"/>
                <w:i w:val="0"/>
                <w:iCs w:val="0"/>
                <w:color w:val="000000"/>
                <w:sz w:val="22"/>
                <w:szCs w:val="22"/>
                <w:u w:val="none"/>
              </w:rPr>
            </w:pPr>
          </w:p>
        </w:tc>
        <w:tc>
          <w:tcPr>
            <w:tcW w:w="809" w:type="dxa"/>
            <w:shd w:val="clear" w:color="auto" w:fill="auto"/>
            <w:vAlign w:val="center"/>
          </w:tcPr>
          <w:p w14:paraId="0AFAE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334" w:type="dxa"/>
            <w:shd w:val="clear" w:color="auto" w:fill="auto"/>
            <w:vAlign w:val="center"/>
          </w:tcPr>
          <w:p w14:paraId="699EDF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自评报告数据是否准确，内容是否翔实。每发现一项不完备的，扣25%分值，扣完为止。</w:t>
            </w:r>
          </w:p>
        </w:tc>
        <w:tc>
          <w:tcPr>
            <w:tcW w:w="1166" w:type="dxa"/>
            <w:shd w:val="clear" w:color="auto" w:fill="auto"/>
            <w:vAlign w:val="center"/>
          </w:tcPr>
          <w:p w14:paraId="7D9CF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否</w:t>
            </w:r>
          </w:p>
        </w:tc>
        <w:tc>
          <w:tcPr>
            <w:tcW w:w="984" w:type="dxa"/>
            <w:shd w:val="clear" w:color="auto" w:fill="auto"/>
            <w:vAlign w:val="center"/>
          </w:tcPr>
          <w:p w14:paraId="13CEE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1550" w:type="dxa"/>
            <w:vMerge w:val="continue"/>
            <w:shd w:val="clear" w:color="auto" w:fill="auto"/>
            <w:vAlign w:val="center"/>
          </w:tcPr>
          <w:p w14:paraId="65AE235D">
            <w:pPr>
              <w:jc w:val="center"/>
              <w:rPr>
                <w:rFonts w:hint="eastAsia" w:ascii="宋体" w:hAnsi="宋体" w:eastAsia="宋体" w:cs="宋体"/>
                <w:i w:val="0"/>
                <w:iCs w:val="0"/>
                <w:color w:val="000000"/>
                <w:sz w:val="22"/>
                <w:szCs w:val="22"/>
                <w:u w:val="none"/>
              </w:rPr>
            </w:pPr>
          </w:p>
        </w:tc>
      </w:tr>
      <w:tr w14:paraId="5FBDB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854" w:type="dxa"/>
            <w:vMerge w:val="restart"/>
            <w:shd w:val="clear" w:color="auto" w:fill="auto"/>
            <w:vAlign w:val="center"/>
          </w:tcPr>
          <w:p w14:paraId="59249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660" w:type="dxa"/>
            <w:vMerge w:val="restart"/>
            <w:shd w:val="clear" w:color="auto" w:fill="auto"/>
            <w:vAlign w:val="center"/>
          </w:tcPr>
          <w:p w14:paraId="340E8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54" w:type="dxa"/>
            <w:shd w:val="clear" w:color="auto" w:fill="auto"/>
            <w:vAlign w:val="center"/>
          </w:tcPr>
          <w:p w14:paraId="74B52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660" w:type="dxa"/>
            <w:shd w:val="clear" w:color="auto" w:fill="auto"/>
            <w:vAlign w:val="center"/>
          </w:tcPr>
          <w:p w14:paraId="4657D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4" w:type="dxa"/>
            <w:shd w:val="clear" w:color="auto" w:fill="auto"/>
            <w:vAlign w:val="center"/>
          </w:tcPr>
          <w:p w14:paraId="7F15B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扶风高中教学设施、设备改造提升补助实际完成率</w:t>
            </w:r>
          </w:p>
        </w:tc>
        <w:tc>
          <w:tcPr>
            <w:tcW w:w="660" w:type="dxa"/>
            <w:shd w:val="clear" w:color="auto" w:fill="auto"/>
            <w:vAlign w:val="center"/>
          </w:tcPr>
          <w:p w14:paraId="6B8B4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09" w:type="dxa"/>
            <w:shd w:val="clear" w:color="auto" w:fill="auto"/>
            <w:vAlign w:val="center"/>
          </w:tcPr>
          <w:p w14:paraId="4B374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334" w:type="dxa"/>
            <w:shd w:val="clear" w:color="auto" w:fill="auto"/>
            <w:vAlign w:val="center"/>
          </w:tcPr>
          <w:p w14:paraId="5796CE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教学楼、科技楼以及操场、宿舍楼的提升改造，实际完成率：按照{已完成工作进度}/{计划工作进度}*100%得出指标值，按照（指标值-（60%））/（（100%）-（60%））× 赋分值得分。</w:t>
            </w:r>
          </w:p>
        </w:tc>
        <w:tc>
          <w:tcPr>
            <w:tcW w:w="1166" w:type="dxa"/>
            <w:shd w:val="clear" w:color="auto" w:fill="auto"/>
            <w:vAlign w:val="center"/>
          </w:tcPr>
          <w:p w14:paraId="2C0C5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84" w:type="dxa"/>
            <w:shd w:val="clear" w:color="auto" w:fill="auto"/>
            <w:vAlign w:val="center"/>
          </w:tcPr>
          <w:p w14:paraId="7A94D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50" w:type="dxa"/>
            <w:vMerge w:val="restart"/>
            <w:shd w:val="clear" w:color="auto" w:fill="auto"/>
            <w:vAlign w:val="center"/>
          </w:tcPr>
          <w:p w14:paraId="56B3D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r>
      <w:tr w14:paraId="40CB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4" w:type="dxa"/>
            <w:vMerge w:val="continue"/>
            <w:shd w:val="clear" w:color="auto" w:fill="auto"/>
            <w:vAlign w:val="center"/>
          </w:tcPr>
          <w:p w14:paraId="73FE9CD5">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23CD8BF3">
            <w:pPr>
              <w:jc w:val="center"/>
              <w:rPr>
                <w:rFonts w:hint="eastAsia" w:ascii="宋体" w:hAnsi="宋体" w:eastAsia="宋体" w:cs="宋体"/>
                <w:i w:val="0"/>
                <w:iCs w:val="0"/>
                <w:color w:val="000000"/>
                <w:sz w:val="22"/>
                <w:szCs w:val="22"/>
                <w:u w:val="none"/>
              </w:rPr>
            </w:pPr>
          </w:p>
        </w:tc>
        <w:tc>
          <w:tcPr>
            <w:tcW w:w="854" w:type="dxa"/>
            <w:shd w:val="clear" w:color="auto" w:fill="auto"/>
            <w:vAlign w:val="center"/>
          </w:tcPr>
          <w:p w14:paraId="46BA9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660" w:type="dxa"/>
            <w:shd w:val="clear" w:color="auto" w:fill="auto"/>
            <w:vAlign w:val="center"/>
          </w:tcPr>
          <w:p w14:paraId="684D9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4" w:type="dxa"/>
            <w:shd w:val="clear" w:color="auto" w:fill="auto"/>
            <w:vAlign w:val="center"/>
          </w:tcPr>
          <w:p w14:paraId="6D28D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扶风高中教学设施、设备改造提升补助质量合格率</w:t>
            </w:r>
          </w:p>
        </w:tc>
        <w:tc>
          <w:tcPr>
            <w:tcW w:w="660" w:type="dxa"/>
            <w:shd w:val="clear" w:color="auto" w:fill="auto"/>
            <w:vAlign w:val="center"/>
          </w:tcPr>
          <w:p w14:paraId="13709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09" w:type="dxa"/>
            <w:shd w:val="clear" w:color="auto" w:fill="auto"/>
            <w:vAlign w:val="center"/>
          </w:tcPr>
          <w:p w14:paraId="23179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334" w:type="dxa"/>
            <w:shd w:val="clear" w:color="auto" w:fill="auto"/>
            <w:vAlign w:val="center"/>
          </w:tcPr>
          <w:p w14:paraId="354EC3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教学楼、科技楼以及操场、宿舍楼的提升改造，验收合格率：按照{经费项目质量达标项目数}/1*100%得出指标值，按照（指标值-（60%））/（（100%）-（60%））× 赋分值得分。</w:t>
            </w:r>
          </w:p>
        </w:tc>
        <w:tc>
          <w:tcPr>
            <w:tcW w:w="1166" w:type="dxa"/>
            <w:shd w:val="clear" w:color="auto" w:fill="auto"/>
            <w:vAlign w:val="center"/>
          </w:tcPr>
          <w:p w14:paraId="252F5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84" w:type="dxa"/>
            <w:shd w:val="clear" w:color="auto" w:fill="auto"/>
            <w:vAlign w:val="center"/>
          </w:tcPr>
          <w:p w14:paraId="4719E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50" w:type="dxa"/>
            <w:vMerge w:val="continue"/>
            <w:shd w:val="clear" w:color="auto" w:fill="auto"/>
            <w:vAlign w:val="center"/>
          </w:tcPr>
          <w:p w14:paraId="736DE23D">
            <w:pPr>
              <w:jc w:val="center"/>
              <w:rPr>
                <w:rFonts w:hint="eastAsia" w:ascii="宋体" w:hAnsi="宋体" w:eastAsia="宋体" w:cs="宋体"/>
                <w:i w:val="0"/>
                <w:iCs w:val="0"/>
                <w:color w:val="000000"/>
                <w:sz w:val="22"/>
                <w:szCs w:val="22"/>
                <w:u w:val="none"/>
              </w:rPr>
            </w:pPr>
          </w:p>
        </w:tc>
      </w:tr>
      <w:tr w14:paraId="75C1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4" w:type="dxa"/>
            <w:vMerge w:val="continue"/>
            <w:shd w:val="clear" w:color="auto" w:fill="auto"/>
            <w:vAlign w:val="center"/>
          </w:tcPr>
          <w:p w14:paraId="098F45AA">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380387A5">
            <w:pPr>
              <w:jc w:val="center"/>
              <w:rPr>
                <w:rFonts w:hint="eastAsia" w:ascii="宋体" w:hAnsi="宋体" w:eastAsia="宋体" w:cs="宋体"/>
                <w:i w:val="0"/>
                <w:iCs w:val="0"/>
                <w:color w:val="000000"/>
                <w:sz w:val="22"/>
                <w:szCs w:val="22"/>
                <w:u w:val="none"/>
              </w:rPr>
            </w:pPr>
          </w:p>
        </w:tc>
        <w:tc>
          <w:tcPr>
            <w:tcW w:w="854" w:type="dxa"/>
            <w:shd w:val="clear" w:color="auto" w:fill="auto"/>
            <w:vAlign w:val="center"/>
          </w:tcPr>
          <w:p w14:paraId="04AEE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660" w:type="dxa"/>
            <w:shd w:val="clear" w:color="auto" w:fill="auto"/>
            <w:vAlign w:val="center"/>
          </w:tcPr>
          <w:p w14:paraId="1AC00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4" w:type="dxa"/>
            <w:shd w:val="clear" w:color="auto" w:fill="auto"/>
            <w:vAlign w:val="center"/>
          </w:tcPr>
          <w:p w14:paraId="06B81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扶风高中教学设施、设备改造提升补助完成及时率</w:t>
            </w:r>
          </w:p>
        </w:tc>
        <w:tc>
          <w:tcPr>
            <w:tcW w:w="660" w:type="dxa"/>
            <w:shd w:val="clear" w:color="auto" w:fill="auto"/>
            <w:vAlign w:val="center"/>
          </w:tcPr>
          <w:p w14:paraId="49612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09" w:type="dxa"/>
            <w:shd w:val="clear" w:color="auto" w:fill="auto"/>
            <w:vAlign w:val="center"/>
          </w:tcPr>
          <w:p w14:paraId="44973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334" w:type="dxa"/>
            <w:shd w:val="clear" w:color="auto" w:fill="auto"/>
            <w:vAlign w:val="center"/>
          </w:tcPr>
          <w:p w14:paraId="638791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教学楼、科技楼以及操场、宿舍楼的提升改造，完成及时率：按照{已完成工作进度}/{计划工作进度}*100%得出指标值，按照（指标值-（60%））/（（100%）-（60%））× 赋分值得分。</w:t>
            </w:r>
          </w:p>
        </w:tc>
        <w:tc>
          <w:tcPr>
            <w:tcW w:w="1166" w:type="dxa"/>
            <w:shd w:val="clear" w:color="auto" w:fill="auto"/>
            <w:vAlign w:val="center"/>
          </w:tcPr>
          <w:p w14:paraId="108B7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84" w:type="dxa"/>
            <w:shd w:val="clear" w:color="auto" w:fill="auto"/>
            <w:vAlign w:val="center"/>
          </w:tcPr>
          <w:p w14:paraId="7703A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50" w:type="dxa"/>
            <w:vMerge w:val="continue"/>
            <w:shd w:val="clear" w:color="auto" w:fill="auto"/>
            <w:vAlign w:val="center"/>
          </w:tcPr>
          <w:p w14:paraId="6ADDA878">
            <w:pPr>
              <w:jc w:val="center"/>
              <w:rPr>
                <w:rFonts w:hint="eastAsia" w:ascii="宋体" w:hAnsi="宋体" w:eastAsia="宋体" w:cs="宋体"/>
                <w:i w:val="0"/>
                <w:iCs w:val="0"/>
                <w:color w:val="000000"/>
                <w:sz w:val="22"/>
                <w:szCs w:val="22"/>
                <w:u w:val="none"/>
              </w:rPr>
            </w:pPr>
          </w:p>
        </w:tc>
      </w:tr>
      <w:tr w14:paraId="3E39B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4" w:type="dxa"/>
            <w:vMerge w:val="continue"/>
            <w:shd w:val="clear" w:color="auto" w:fill="auto"/>
            <w:vAlign w:val="center"/>
          </w:tcPr>
          <w:p w14:paraId="7308A442">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2BC52C10">
            <w:pPr>
              <w:jc w:val="center"/>
              <w:rPr>
                <w:rFonts w:hint="eastAsia" w:ascii="宋体" w:hAnsi="宋体" w:eastAsia="宋体" w:cs="宋体"/>
                <w:i w:val="0"/>
                <w:iCs w:val="0"/>
                <w:color w:val="000000"/>
                <w:sz w:val="22"/>
                <w:szCs w:val="22"/>
                <w:u w:val="none"/>
              </w:rPr>
            </w:pPr>
          </w:p>
        </w:tc>
        <w:tc>
          <w:tcPr>
            <w:tcW w:w="854" w:type="dxa"/>
            <w:shd w:val="clear" w:color="auto" w:fill="auto"/>
            <w:vAlign w:val="center"/>
          </w:tcPr>
          <w:p w14:paraId="00161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660" w:type="dxa"/>
            <w:shd w:val="clear" w:color="auto" w:fill="auto"/>
            <w:vAlign w:val="center"/>
          </w:tcPr>
          <w:p w14:paraId="61CDF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4" w:type="dxa"/>
            <w:shd w:val="clear" w:color="auto" w:fill="auto"/>
            <w:vAlign w:val="center"/>
          </w:tcPr>
          <w:p w14:paraId="2B9D5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扶风高中教学设施、设备改造提升补助成本节约率</w:t>
            </w:r>
          </w:p>
        </w:tc>
        <w:tc>
          <w:tcPr>
            <w:tcW w:w="660" w:type="dxa"/>
            <w:shd w:val="clear" w:color="auto" w:fill="auto"/>
            <w:vAlign w:val="center"/>
          </w:tcPr>
          <w:p w14:paraId="22769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09" w:type="dxa"/>
            <w:shd w:val="clear" w:color="auto" w:fill="auto"/>
            <w:vAlign w:val="center"/>
          </w:tcPr>
          <w:p w14:paraId="235F0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334" w:type="dxa"/>
            <w:shd w:val="clear" w:color="auto" w:fill="auto"/>
            <w:vAlign w:val="center"/>
          </w:tcPr>
          <w:p w14:paraId="0D4913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教学楼、科技楼以及操场、宿舍楼的提升改造，成本节约率：按照({经费项目计划支出}-{经费项目预计支出})/{经费项目计划支出}*100%得出指标值，按照（指标值-（-10%））/（（0%）-（-10%））× 赋分值得分。</w:t>
            </w:r>
          </w:p>
        </w:tc>
        <w:tc>
          <w:tcPr>
            <w:tcW w:w="1166" w:type="dxa"/>
            <w:shd w:val="clear" w:color="auto" w:fill="auto"/>
            <w:vAlign w:val="center"/>
          </w:tcPr>
          <w:p w14:paraId="4791B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984" w:type="dxa"/>
            <w:shd w:val="clear" w:color="auto" w:fill="auto"/>
            <w:vAlign w:val="center"/>
          </w:tcPr>
          <w:p w14:paraId="5DCB7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50" w:type="dxa"/>
            <w:vMerge w:val="continue"/>
            <w:shd w:val="clear" w:color="auto" w:fill="auto"/>
            <w:vAlign w:val="center"/>
          </w:tcPr>
          <w:p w14:paraId="3696CC78">
            <w:pPr>
              <w:jc w:val="center"/>
              <w:rPr>
                <w:rFonts w:hint="eastAsia" w:ascii="宋体" w:hAnsi="宋体" w:eastAsia="宋体" w:cs="宋体"/>
                <w:i w:val="0"/>
                <w:iCs w:val="0"/>
                <w:color w:val="000000"/>
                <w:sz w:val="22"/>
                <w:szCs w:val="22"/>
                <w:u w:val="none"/>
              </w:rPr>
            </w:pPr>
          </w:p>
        </w:tc>
      </w:tr>
      <w:tr w14:paraId="1F52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854" w:type="dxa"/>
            <w:vMerge w:val="restart"/>
            <w:shd w:val="clear" w:color="auto" w:fill="auto"/>
            <w:vAlign w:val="center"/>
          </w:tcPr>
          <w:p w14:paraId="6214A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660" w:type="dxa"/>
            <w:vMerge w:val="restart"/>
            <w:shd w:val="clear" w:color="auto" w:fill="auto"/>
            <w:vAlign w:val="center"/>
          </w:tcPr>
          <w:p w14:paraId="6DED9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54" w:type="dxa"/>
            <w:vMerge w:val="restart"/>
            <w:shd w:val="clear" w:color="auto" w:fill="auto"/>
            <w:vAlign w:val="center"/>
          </w:tcPr>
          <w:p w14:paraId="6E454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p>
        </w:tc>
        <w:tc>
          <w:tcPr>
            <w:tcW w:w="660" w:type="dxa"/>
            <w:vMerge w:val="restart"/>
            <w:shd w:val="clear" w:color="auto" w:fill="auto"/>
            <w:vAlign w:val="center"/>
          </w:tcPr>
          <w:p w14:paraId="24E5A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44" w:type="dxa"/>
            <w:vMerge w:val="restart"/>
            <w:shd w:val="clear" w:color="auto" w:fill="auto"/>
            <w:vAlign w:val="center"/>
          </w:tcPr>
          <w:p w14:paraId="52603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改善教学环境，美化校园环境</w:t>
            </w:r>
          </w:p>
        </w:tc>
        <w:tc>
          <w:tcPr>
            <w:tcW w:w="660" w:type="dxa"/>
            <w:vMerge w:val="restart"/>
            <w:shd w:val="clear" w:color="auto" w:fill="auto"/>
            <w:vAlign w:val="center"/>
          </w:tcPr>
          <w:p w14:paraId="45A40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09" w:type="dxa"/>
            <w:shd w:val="clear" w:color="auto" w:fill="auto"/>
            <w:vAlign w:val="center"/>
          </w:tcPr>
          <w:p w14:paraId="0453E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334" w:type="dxa"/>
            <w:shd w:val="clear" w:color="auto" w:fill="auto"/>
            <w:vAlign w:val="center"/>
          </w:tcPr>
          <w:p w14:paraId="4FEBF3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教学环境，提升学生的学习效果和教师的教学体验。：按照*&lt;计算公式&gt;*得出指标值，按照*&lt;得分公式&gt;*得分。达成目标得100%分，基本达成目标得75%分，部分实现目标得50%分，实现程度较低得25%分，实现程度低得0%分。</w:t>
            </w:r>
          </w:p>
        </w:tc>
        <w:tc>
          <w:tcPr>
            <w:tcW w:w="1166" w:type="dxa"/>
            <w:shd w:val="clear" w:color="auto" w:fill="auto"/>
            <w:vAlign w:val="center"/>
          </w:tcPr>
          <w:p w14:paraId="351D3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达成目标</w:t>
            </w:r>
          </w:p>
        </w:tc>
        <w:tc>
          <w:tcPr>
            <w:tcW w:w="984" w:type="dxa"/>
            <w:shd w:val="clear" w:color="auto" w:fill="auto"/>
            <w:vAlign w:val="center"/>
          </w:tcPr>
          <w:p w14:paraId="6A8FC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50" w:type="dxa"/>
            <w:vMerge w:val="restart"/>
            <w:shd w:val="clear" w:color="auto" w:fill="auto"/>
            <w:vAlign w:val="center"/>
          </w:tcPr>
          <w:p w14:paraId="6DC60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14:paraId="3CD8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854" w:type="dxa"/>
            <w:vMerge w:val="continue"/>
            <w:shd w:val="clear" w:color="auto" w:fill="auto"/>
            <w:vAlign w:val="center"/>
          </w:tcPr>
          <w:p w14:paraId="073CBAD7">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28E252E5">
            <w:pPr>
              <w:jc w:val="center"/>
              <w:rPr>
                <w:rFonts w:hint="eastAsia" w:ascii="宋体" w:hAnsi="宋体" w:eastAsia="宋体" w:cs="宋体"/>
                <w:i w:val="0"/>
                <w:iCs w:val="0"/>
                <w:color w:val="000000"/>
                <w:sz w:val="22"/>
                <w:szCs w:val="22"/>
                <w:u w:val="none"/>
              </w:rPr>
            </w:pPr>
          </w:p>
        </w:tc>
        <w:tc>
          <w:tcPr>
            <w:tcW w:w="854" w:type="dxa"/>
            <w:vMerge w:val="continue"/>
            <w:shd w:val="clear" w:color="auto" w:fill="auto"/>
            <w:vAlign w:val="center"/>
          </w:tcPr>
          <w:p w14:paraId="12C9D1A9">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4476C92D">
            <w:pPr>
              <w:jc w:val="center"/>
              <w:rPr>
                <w:rFonts w:hint="eastAsia" w:ascii="宋体" w:hAnsi="宋体" w:eastAsia="宋体" w:cs="宋体"/>
                <w:i w:val="0"/>
                <w:iCs w:val="0"/>
                <w:color w:val="000000"/>
                <w:sz w:val="22"/>
                <w:szCs w:val="22"/>
                <w:u w:val="none"/>
              </w:rPr>
            </w:pPr>
          </w:p>
        </w:tc>
        <w:tc>
          <w:tcPr>
            <w:tcW w:w="1244" w:type="dxa"/>
            <w:vMerge w:val="continue"/>
            <w:shd w:val="clear" w:color="auto" w:fill="auto"/>
            <w:vAlign w:val="center"/>
          </w:tcPr>
          <w:p w14:paraId="2E3C3480">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35CD215E">
            <w:pPr>
              <w:jc w:val="center"/>
              <w:rPr>
                <w:rFonts w:hint="eastAsia" w:ascii="宋体" w:hAnsi="宋体" w:eastAsia="宋体" w:cs="宋体"/>
                <w:i w:val="0"/>
                <w:iCs w:val="0"/>
                <w:color w:val="000000"/>
                <w:sz w:val="22"/>
                <w:szCs w:val="22"/>
                <w:u w:val="none"/>
              </w:rPr>
            </w:pPr>
          </w:p>
        </w:tc>
        <w:tc>
          <w:tcPr>
            <w:tcW w:w="809" w:type="dxa"/>
            <w:shd w:val="clear" w:color="auto" w:fill="auto"/>
            <w:vAlign w:val="center"/>
          </w:tcPr>
          <w:p w14:paraId="04324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334" w:type="dxa"/>
            <w:shd w:val="clear" w:color="auto" w:fill="auto"/>
            <w:vAlign w:val="center"/>
          </w:tcPr>
          <w:p w14:paraId="5525C3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美化校园环境：按照*&lt;计算公式&gt;*得出指标值，按照*&lt;得分公式&gt;*得分。达成目标得100%分，基本达成目标得75%分，部分实现目标得50%分，实现程度较低得25%分，实现程度低得0%分。</w:t>
            </w:r>
          </w:p>
        </w:tc>
        <w:tc>
          <w:tcPr>
            <w:tcW w:w="1166" w:type="dxa"/>
            <w:shd w:val="clear" w:color="auto" w:fill="auto"/>
            <w:vAlign w:val="center"/>
          </w:tcPr>
          <w:p w14:paraId="24505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达成目标</w:t>
            </w:r>
          </w:p>
        </w:tc>
        <w:tc>
          <w:tcPr>
            <w:tcW w:w="984" w:type="dxa"/>
            <w:shd w:val="clear" w:color="auto" w:fill="auto"/>
            <w:vAlign w:val="center"/>
          </w:tcPr>
          <w:p w14:paraId="62782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50" w:type="dxa"/>
            <w:vMerge w:val="continue"/>
            <w:shd w:val="clear" w:color="auto" w:fill="auto"/>
            <w:vAlign w:val="center"/>
          </w:tcPr>
          <w:p w14:paraId="340DA4E7">
            <w:pPr>
              <w:jc w:val="center"/>
              <w:rPr>
                <w:rFonts w:hint="eastAsia" w:ascii="宋体" w:hAnsi="宋体" w:eastAsia="宋体" w:cs="宋体"/>
                <w:i w:val="0"/>
                <w:iCs w:val="0"/>
                <w:color w:val="000000"/>
                <w:sz w:val="22"/>
                <w:szCs w:val="22"/>
                <w:u w:val="none"/>
              </w:rPr>
            </w:pPr>
          </w:p>
        </w:tc>
      </w:tr>
      <w:tr w14:paraId="0B7F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4" w:type="dxa"/>
            <w:vMerge w:val="continue"/>
            <w:shd w:val="clear" w:color="auto" w:fill="auto"/>
            <w:vAlign w:val="center"/>
          </w:tcPr>
          <w:p w14:paraId="2C61D262">
            <w:pPr>
              <w:jc w:val="center"/>
              <w:rPr>
                <w:rFonts w:hint="eastAsia" w:ascii="宋体" w:hAnsi="宋体" w:eastAsia="宋体" w:cs="宋体"/>
                <w:i w:val="0"/>
                <w:iCs w:val="0"/>
                <w:color w:val="000000"/>
                <w:sz w:val="22"/>
                <w:szCs w:val="22"/>
                <w:u w:val="none"/>
              </w:rPr>
            </w:pPr>
          </w:p>
        </w:tc>
        <w:tc>
          <w:tcPr>
            <w:tcW w:w="660" w:type="dxa"/>
            <w:vMerge w:val="continue"/>
            <w:shd w:val="clear" w:color="auto" w:fill="auto"/>
            <w:vAlign w:val="center"/>
          </w:tcPr>
          <w:p w14:paraId="62531AF5">
            <w:pPr>
              <w:jc w:val="center"/>
              <w:rPr>
                <w:rFonts w:hint="eastAsia" w:ascii="宋体" w:hAnsi="宋体" w:eastAsia="宋体" w:cs="宋体"/>
                <w:i w:val="0"/>
                <w:iCs w:val="0"/>
                <w:color w:val="000000"/>
                <w:sz w:val="22"/>
                <w:szCs w:val="22"/>
                <w:u w:val="none"/>
              </w:rPr>
            </w:pPr>
          </w:p>
        </w:tc>
        <w:tc>
          <w:tcPr>
            <w:tcW w:w="854" w:type="dxa"/>
            <w:shd w:val="clear" w:color="auto" w:fill="auto"/>
            <w:vAlign w:val="center"/>
          </w:tcPr>
          <w:p w14:paraId="20786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660" w:type="dxa"/>
            <w:shd w:val="clear" w:color="auto" w:fill="auto"/>
            <w:vAlign w:val="center"/>
          </w:tcPr>
          <w:p w14:paraId="418C2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4" w:type="dxa"/>
            <w:shd w:val="clear" w:color="auto" w:fill="auto"/>
            <w:vAlign w:val="center"/>
          </w:tcPr>
          <w:p w14:paraId="35B2D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学校师生满意度</w:t>
            </w:r>
          </w:p>
        </w:tc>
        <w:tc>
          <w:tcPr>
            <w:tcW w:w="660" w:type="dxa"/>
            <w:shd w:val="clear" w:color="auto" w:fill="auto"/>
            <w:vAlign w:val="center"/>
          </w:tcPr>
          <w:p w14:paraId="3370C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09" w:type="dxa"/>
            <w:shd w:val="clear" w:color="auto" w:fill="auto"/>
            <w:vAlign w:val="center"/>
          </w:tcPr>
          <w:p w14:paraId="6DD75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334" w:type="dxa"/>
            <w:shd w:val="clear" w:color="auto" w:fill="auto"/>
            <w:vAlign w:val="center"/>
          </w:tcPr>
          <w:p w14:paraId="1F93DA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学校师生满意度：按照*&lt;计算公式&gt;*得出指标值，按照*&lt;得分公式&gt;*得分。满意得100%分，较满意得80%分，基本满意得60%分，较不满意得30%分，不满意得0%分。</w:t>
            </w:r>
          </w:p>
        </w:tc>
        <w:tc>
          <w:tcPr>
            <w:tcW w:w="1166" w:type="dxa"/>
            <w:shd w:val="clear" w:color="auto" w:fill="auto"/>
            <w:vAlign w:val="center"/>
          </w:tcPr>
          <w:p w14:paraId="63F9D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w:t>
            </w:r>
          </w:p>
        </w:tc>
        <w:tc>
          <w:tcPr>
            <w:tcW w:w="984" w:type="dxa"/>
            <w:shd w:val="clear" w:color="auto" w:fill="auto"/>
            <w:vAlign w:val="center"/>
          </w:tcPr>
          <w:p w14:paraId="4284E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50" w:type="dxa"/>
            <w:vMerge w:val="continue"/>
            <w:shd w:val="clear" w:color="auto" w:fill="auto"/>
            <w:vAlign w:val="center"/>
          </w:tcPr>
          <w:p w14:paraId="6DE4DE36">
            <w:pPr>
              <w:jc w:val="center"/>
              <w:rPr>
                <w:rFonts w:hint="eastAsia" w:ascii="宋体" w:hAnsi="宋体" w:eastAsia="宋体" w:cs="宋体"/>
                <w:i w:val="0"/>
                <w:iCs w:val="0"/>
                <w:color w:val="000000"/>
                <w:sz w:val="22"/>
                <w:szCs w:val="22"/>
                <w:u w:val="none"/>
              </w:rPr>
            </w:pPr>
          </w:p>
        </w:tc>
      </w:tr>
      <w:tr w14:paraId="76B4E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4" w:type="dxa"/>
            <w:shd w:val="clear" w:color="auto" w:fill="auto"/>
            <w:vAlign w:val="center"/>
          </w:tcPr>
          <w:p w14:paraId="5DF7F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60" w:type="dxa"/>
            <w:shd w:val="clear" w:color="auto" w:fill="auto"/>
            <w:vAlign w:val="center"/>
          </w:tcPr>
          <w:p w14:paraId="0C9A6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54" w:type="dxa"/>
            <w:shd w:val="clear" w:color="auto" w:fill="auto"/>
            <w:noWrap/>
            <w:vAlign w:val="center"/>
          </w:tcPr>
          <w:p w14:paraId="0E83FB28">
            <w:pPr>
              <w:rPr>
                <w:rFonts w:hint="eastAsia" w:ascii="宋体" w:hAnsi="宋体" w:eastAsia="宋体" w:cs="宋体"/>
                <w:i w:val="0"/>
                <w:iCs w:val="0"/>
                <w:color w:val="000000"/>
                <w:sz w:val="22"/>
                <w:szCs w:val="22"/>
                <w:u w:val="none"/>
              </w:rPr>
            </w:pPr>
          </w:p>
        </w:tc>
        <w:tc>
          <w:tcPr>
            <w:tcW w:w="660" w:type="dxa"/>
            <w:shd w:val="clear" w:color="auto" w:fill="auto"/>
            <w:vAlign w:val="center"/>
          </w:tcPr>
          <w:p w14:paraId="7E472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4" w:type="dxa"/>
            <w:shd w:val="clear" w:color="auto" w:fill="auto"/>
            <w:noWrap/>
            <w:vAlign w:val="center"/>
          </w:tcPr>
          <w:p w14:paraId="7F2051AE">
            <w:pPr>
              <w:rPr>
                <w:rFonts w:hint="eastAsia" w:ascii="宋体" w:hAnsi="宋体" w:eastAsia="宋体" w:cs="宋体"/>
                <w:i w:val="0"/>
                <w:iCs w:val="0"/>
                <w:color w:val="000000"/>
                <w:sz w:val="22"/>
                <w:szCs w:val="22"/>
                <w:u w:val="none"/>
              </w:rPr>
            </w:pPr>
          </w:p>
        </w:tc>
        <w:tc>
          <w:tcPr>
            <w:tcW w:w="660" w:type="dxa"/>
            <w:shd w:val="clear" w:color="auto" w:fill="auto"/>
            <w:vAlign w:val="center"/>
          </w:tcPr>
          <w:p w14:paraId="6867F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09" w:type="dxa"/>
            <w:shd w:val="clear" w:color="auto" w:fill="auto"/>
            <w:vAlign w:val="center"/>
          </w:tcPr>
          <w:p w14:paraId="7ABC1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4" w:type="dxa"/>
            <w:shd w:val="clear" w:color="auto" w:fill="auto"/>
            <w:noWrap/>
            <w:vAlign w:val="center"/>
          </w:tcPr>
          <w:p w14:paraId="19A40CC1">
            <w:pPr>
              <w:rPr>
                <w:rFonts w:hint="eastAsia" w:ascii="宋体" w:hAnsi="宋体" w:eastAsia="宋体" w:cs="宋体"/>
                <w:i w:val="0"/>
                <w:iCs w:val="0"/>
                <w:color w:val="000000"/>
                <w:sz w:val="22"/>
                <w:szCs w:val="22"/>
                <w:u w:val="none"/>
              </w:rPr>
            </w:pPr>
          </w:p>
        </w:tc>
        <w:tc>
          <w:tcPr>
            <w:tcW w:w="1166" w:type="dxa"/>
            <w:shd w:val="clear" w:color="auto" w:fill="auto"/>
            <w:noWrap/>
            <w:vAlign w:val="center"/>
          </w:tcPr>
          <w:p w14:paraId="04CA96C6">
            <w:pPr>
              <w:rPr>
                <w:rFonts w:hint="eastAsia" w:ascii="宋体" w:hAnsi="宋体" w:eastAsia="宋体" w:cs="宋体"/>
                <w:i w:val="0"/>
                <w:iCs w:val="0"/>
                <w:color w:val="000000"/>
                <w:sz w:val="22"/>
                <w:szCs w:val="22"/>
                <w:u w:val="none"/>
              </w:rPr>
            </w:pPr>
          </w:p>
        </w:tc>
        <w:tc>
          <w:tcPr>
            <w:tcW w:w="984" w:type="dxa"/>
            <w:shd w:val="clear" w:color="auto" w:fill="auto"/>
            <w:vAlign w:val="center"/>
          </w:tcPr>
          <w:p w14:paraId="43244BD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95.5</w:t>
            </w:r>
          </w:p>
        </w:tc>
        <w:tc>
          <w:tcPr>
            <w:tcW w:w="1550" w:type="dxa"/>
            <w:shd w:val="clear" w:color="auto" w:fill="auto"/>
            <w:vAlign w:val="center"/>
          </w:tcPr>
          <w:p w14:paraId="7D3A088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95.5</w:t>
            </w:r>
          </w:p>
        </w:tc>
      </w:tr>
    </w:tbl>
    <w:p w14:paraId="7C5AACC8">
      <w:pPr>
        <w:spacing w:line="600" w:lineRule="exact"/>
        <w:jc w:val="both"/>
        <w:rPr>
          <w:rFonts w:hint="eastAsia" w:ascii="仿宋" w:hAnsi="仿宋" w:eastAsia="仿宋" w:cs="仿宋"/>
          <w:kern w:val="0"/>
          <w:sz w:val="32"/>
          <w:szCs w:val="32"/>
        </w:rPr>
      </w:pPr>
    </w:p>
    <w:p w14:paraId="68D07F53"/>
    <w:p w14:paraId="4E2C00FA">
      <w:pPr>
        <w:spacing w:line="600" w:lineRule="exact"/>
        <w:jc w:val="both"/>
        <w:rPr>
          <w:rFonts w:hint="eastAsia" w:ascii="仿宋" w:hAnsi="仿宋" w:eastAsia="仿宋" w:cs="仿宋"/>
          <w:kern w:val="0"/>
          <w:sz w:val="32"/>
          <w:szCs w:val="32"/>
        </w:rPr>
      </w:pPr>
    </w:p>
    <w:sectPr>
      <w:pgSz w:w="16783" w:h="11850" w:orient="landscape"/>
      <w:pgMar w:top="1800" w:right="1440" w:bottom="1800" w:left="1440" w:header="567"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676273-C6F5-4C58-B54A-3CEFD8275B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2" w:fontKey="{62B464AC-6703-4123-8D45-E481B6830407}"/>
  </w:font>
  <w:font w:name="仿宋">
    <w:panose1 w:val="02010609060101010101"/>
    <w:charset w:val="86"/>
    <w:family w:val="auto"/>
    <w:pitch w:val="default"/>
    <w:sig w:usb0="800002BF" w:usb1="38CF7CFA" w:usb2="00000016" w:usb3="00000000" w:csb0="00040001" w:csb1="00000000"/>
    <w:embedRegular r:id="rId3" w:fontKey="{A39F495F-0E6C-4498-9422-F887F2BB5121}"/>
  </w:font>
  <w:font w:name="仿宋_GB2312">
    <w:altName w:val="仿宋"/>
    <w:panose1 w:val="02010609060101010101"/>
    <w:charset w:val="86"/>
    <w:family w:val="auto"/>
    <w:pitch w:val="default"/>
    <w:sig w:usb0="00000000" w:usb1="00000000" w:usb2="00000016" w:usb3="00000000" w:csb0="00040001" w:csb1="00000000"/>
  </w:font>
  <w:font w:name="楷体_GB2312">
    <w:panose1 w:val="02010609060101010101"/>
    <w:charset w:val="86"/>
    <w:family w:val="auto"/>
    <w:pitch w:val="default"/>
    <w:sig w:usb0="800002BF" w:usb1="38CF7CFA" w:usb2="00000016" w:usb3="00000000" w:csb0="00040001" w:csb1="00000000"/>
    <w:embedRegular r:id="rId4" w:fontKey="{C5F2936B-D861-4C79-9852-CF872AD61461}"/>
  </w:font>
  <w:font w:name="方正小标宋_GBK">
    <w:panose1 w:val="02000000000000000000"/>
    <w:charset w:val="86"/>
    <w:family w:val="auto"/>
    <w:pitch w:val="default"/>
    <w:sig w:usb0="A00002BF" w:usb1="38CF7CFA" w:usb2="00082016" w:usb3="00000000" w:csb0="00040001" w:csb1="00000000"/>
    <w:embedRegular r:id="rId5" w:fontKey="{B9D3B7A7-9EFB-4456-8B8A-5007A4A2B6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D43E7">
    <w:pPr>
      <w:pStyle w:val="8"/>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F61EE">
    <w:pPr>
      <w:pStyle w:val="8"/>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0E9AF">
    <w:pPr>
      <w:pStyle w:val="8"/>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4BA85">
    <w:pPr>
      <w:pStyle w:val="8"/>
      <w:tabs>
        <w:tab w:val="center" w:pos="4260"/>
        <w:tab w:val="clear" w:pos="4153"/>
      </w:tabs>
      <w:jc w:val="both"/>
      <w:rPr>
        <w:rFonts w:ascii="仿宋" w:hAnsi="仿宋" w:eastAsia="仿宋" w:cs="仿宋"/>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92005">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1992005">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YWNlZTBjZTBmNjc3YjVjMGQwZGYxZmI2NGE4ZGIifQ=="/>
  </w:docVars>
  <w:rsids>
    <w:rsidRoot w:val="00000000"/>
    <w:rsid w:val="01694A4B"/>
    <w:rsid w:val="022E6257"/>
    <w:rsid w:val="031C2553"/>
    <w:rsid w:val="036D71EC"/>
    <w:rsid w:val="03FE7EAB"/>
    <w:rsid w:val="04007341"/>
    <w:rsid w:val="04B0389B"/>
    <w:rsid w:val="055A7363"/>
    <w:rsid w:val="0ADB0F46"/>
    <w:rsid w:val="0B974E6D"/>
    <w:rsid w:val="0D1B37D4"/>
    <w:rsid w:val="10E741A0"/>
    <w:rsid w:val="12D70244"/>
    <w:rsid w:val="13F62A4C"/>
    <w:rsid w:val="235D02F2"/>
    <w:rsid w:val="261849A4"/>
    <w:rsid w:val="2B053749"/>
    <w:rsid w:val="2C1B2943"/>
    <w:rsid w:val="2E2D5BF8"/>
    <w:rsid w:val="31C205E6"/>
    <w:rsid w:val="322546D1"/>
    <w:rsid w:val="32BA12BD"/>
    <w:rsid w:val="32EE0F67"/>
    <w:rsid w:val="358160C2"/>
    <w:rsid w:val="362A0508"/>
    <w:rsid w:val="38CE3356"/>
    <w:rsid w:val="398863AA"/>
    <w:rsid w:val="3BB91E42"/>
    <w:rsid w:val="3CB46D7D"/>
    <w:rsid w:val="3E0B0C1F"/>
    <w:rsid w:val="3FEA0D08"/>
    <w:rsid w:val="411A6CA5"/>
    <w:rsid w:val="428D2CDD"/>
    <w:rsid w:val="43C81360"/>
    <w:rsid w:val="482C010F"/>
    <w:rsid w:val="4BD341E4"/>
    <w:rsid w:val="4CB701C3"/>
    <w:rsid w:val="512F2A1E"/>
    <w:rsid w:val="51542485"/>
    <w:rsid w:val="538B4F5C"/>
    <w:rsid w:val="54960A02"/>
    <w:rsid w:val="54A92AE8"/>
    <w:rsid w:val="5D9C2856"/>
    <w:rsid w:val="5E8819C0"/>
    <w:rsid w:val="604A517F"/>
    <w:rsid w:val="620C65CE"/>
    <w:rsid w:val="63952BB5"/>
    <w:rsid w:val="649C0E27"/>
    <w:rsid w:val="67F105D6"/>
    <w:rsid w:val="67FD6F7B"/>
    <w:rsid w:val="68BB130F"/>
    <w:rsid w:val="6A9507C3"/>
    <w:rsid w:val="6AF208ED"/>
    <w:rsid w:val="6C2E3BA6"/>
    <w:rsid w:val="6ED529FF"/>
    <w:rsid w:val="6F7C2E7B"/>
    <w:rsid w:val="6F963F3C"/>
    <w:rsid w:val="7329331A"/>
    <w:rsid w:val="754E4ED9"/>
    <w:rsid w:val="76CA0060"/>
    <w:rsid w:val="787B0173"/>
    <w:rsid w:val="7B0D52CF"/>
    <w:rsid w:val="7B0F54EB"/>
    <w:rsid w:val="7D2C7C8E"/>
    <w:rsid w:val="7FB421BD"/>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360" w:lineRule="auto"/>
      <w:ind w:firstLine="1120" w:firstLineChars="200"/>
      <w:outlineLvl w:val="0"/>
    </w:pPr>
    <w:rPr>
      <w:rFonts w:eastAsia="楷体"/>
      <w:b/>
      <w:bCs/>
      <w:kern w:val="44"/>
      <w:sz w:val="32"/>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ind w:firstLine="420" w:firstLineChars="200"/>
      <w:outlineLvl w:val="1"/>
    </w:pPr>
    <w:rPr>
      <w:rFonts w:ascii="Arial" w:hAnsi="Arial" w:eastAsia="楷体"/>
      <w:b/>
      <w:sz w:val="32"/>
    </w:rPr>
  </w:style>
  <w:style w:type="paragraph" w:styleId="4">
    <w:name w:val="heading 4"/>
    <w:basedOn w:val="1"/>
    <w:next w:val="1"/>
    <w:unhideWhenUsed/>
    <w:qFormat/>
    <w:uiPriority w:val="0"/>
    <w:pPr>
      <w:keepNext/>
      <w:keepLines/>
      <w:spacing w:line="360" w:lineRule="auto"/>
      <w:ind w:firstLine="1120" w:firstLineChars="200"/>
      <w:outlineLvl w:val="3"/>
    </w:pPr>
    <w:rPr>
      <w:rFonts w:ascii="Arial" w:hAnsi="Arial" w:eastAsia="仿宋"/>
      <w:sz w:val="28"/>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99"/>
    <w:pPr>
      <w:jc w:val="left"/>
    </w:pPr>
  </w:style>
  <w:style w:type="paragraph" w:styleId="6">
    <w:name w:val="Body Text"/>
    <w:basedOn w:val="1"/>
    <w:qFormat/>
    <w:uiPriority w:val="1"/>
    <w:pPr>
      <w:spacing w:before="102"/>
      <w:ind w:left="112"/>
    </w:pPr>
    <w:rPr>
      <w:sz w:val="28"/>
      <w:szCs w:val="28"/>
    </w:rPr>
  </w:style>
  <w:style w:type="paragraph" w:styleId="7">
    <w:name w:val="Balloon Text"/>
    <w:basedOn w:val="1"/>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Normal (Web)"/>
    <w:basedOn w:val="1"/>
    <w:qFormat/>
    <w:uiPriority w:val="0"/>
    <w:pPr>
      <w:spacing w:beforeAutospacing="1" w:afterAutospacing="1"/>
      <w:jc w:val="left"/>
    </w:pPr>
    <w:rPr>
      <w:kern w:val="0"/>
      <w:sz w:val="24"/>
    </w:rPr>
  </w:style>
  <w:style w:type="paragraph" w:styleId="13">
    <w:name w:val="annotation subject"/>
    <w:basedOn w:val="5"/>
    <w:qFormat/>
    <w:uiPriority w:val="0"/>
    <w:rPr>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basedOn w:val="16"/>
    <w:qFormat/>
    <w:uiPriority w:val="0"/>
  </w:style>
  <w:style w:type="character" w:styleId="19">
    <w:name w:val="Hyperlink"/>
    <w:basedOn w:val="16"/>
    <w:unhideWhenUsed/>
    <w:qFormat/>
    <w:uiPriority w:val="99"/>
    <w:rPr>
      <w:color w:val="0563C1" w:themeColor="hyperlink"/>
      <w:u w:val="single"/>
      <w14:textFill>
        <w14:solidFill>
          <w14:schemeClr w14:val="hlink"/>
        </w14:solidFill>
      </w14:textFill>
    </w:rPr>
  </w:style>
  <w:style w:type="character" w:styleId="20">
    <w:name w:val="annotation reference"/>
    <w:basedOn w:val="16"/>
    <w:qFormat/>
    <w:uiPriority w:val="99"/>
    <w:rPr>
      <w:sz w:val="21"/>
      <w:szCs w:val="21"/>
    </w:rPr>
  </w:style>
  <w:style w:type="paragraph" w:customStyle="1" w:styleId="21">
    <w:name w:val="列出段落1"/>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pPr>
  </w:style>
  <w:style w:type="paragraph" w:customStyle="1" w:styleId="22">
    <w:name w:val="Char Char Char Char Char Char Char"/>
    <w:basedOn w:val="1"/>
    <w:qFormat/>
    <w:uiPriority w:val="0"/>
    <w:rPr>
      <w:rFonts w:eastAsia="仿宋_GB2312"/>
      <w:sz w:val="30"/>
      <w:szCs w:val="21"/>
    </w:rPr>
  </w:style>
  <w:style w:type="paragraph" w:customStyle="1" w:styleId="23">
    <w:name w:val="正文缩进1"/>
    <w:basedOn w:val="1"/>
    <w:qFormat/>
    <w:uiPriority w:val="0"/>
    <w:pPr>
      <w:ind w:firstLine="420" w:firstLineChars="200"/>
    </w:pPr>
  </w:style>
  <w:style w:type="paragraph" w:customStyle="1" w:styleId="24">
    <w:name w:val="BodyText"/>
    <w:basedOn w:val="1"/>
    <w:qFormat/>
    <w:uiPriority w:val="0"/>
    <w:pPr>
      <w:jc w:val="center"/>
      <w:textAlignment w:val="baseline"/>
    </w:pPr>
    <w:rPr>
      <w:kern w:val="0"/>
      <w:sz w:val="20"/>
      <w:szCs w:val="24"/>
    </w:rPr>
  </w:style>
  <w:style w:type="paragraph" w:customStyle="1" w:styleId="25">
    <w:name w:val="UserStyle_5"/>
    <w:basedOn w:val="1"/>
    <w:qFormat/>
    <w:uiPriority w:val="0"/>
    <w:pPr>
      <w:keepNext/>
      <w:keepLines/>
      <w:spacing w:line="500" w:lineRule="exact"/>
      <w:ind w:firstLine="200" w:firstLineChars="200"/>
      <w:jc w:val="left"/>
      <w:textAlignment w:val="baseline"/>
    </w:pPr>
    <w:rPr>
      <w:b/>
      <w:bCs/>
      <w:kern w:val="44"/>
      <w:szCs w:val="28"/>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8">
    <w:name w:val="批注文字 字符"/>
    <w:basedOn w:val="16"/>
    <w:qFormat/>
    <w:uiPriority w:val="99"/>
    <w:rPr>
      <w:kern w:val="2"/>
      <w:sz w:val="21"/>
    </w:rPr>
  </w:style>
  <w:style w:type="character" w:customStyle="1" w:styleId="29">
    <w:name w:val="批注主题 字符"/>
    <w:basedOn w:val="28"/>
    <w:qFormat/>
    <w:uiPriority w:val="0"/>
    <w:rPr>
      <w:b/>
      <w:bCs/>
      <w:kern w:val="2"/>
      <w:sz w:val="21"/>
    </w:rPr>
  </w:style>
  <w:style w:type="character" w:customStyle="1" w:styleId="30">
    <w:name w:val="正文文本 字符"/>
    <w:basedOn w:val="16"/>
    <w:qFormat/>
    <w:uiPriority w:val="1"/>
    <w:rPr>
      <w:kern w:val="2"/>
      <w:sz w:val="28"/>
      <w:szCs w:val="28"/>
    </w:rPr>
  </w:style>
  <w:style w:type="character" w:customStyle="1" w:styleId="31">
    <w:name w:val="批注框文本 字符"/>
    <w:basedOn w:val="16"/>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xsi="http://www.w3.org/2001/XMLSchema-instance">
  <dcterms:created xsi:type="dcterms:W3CDTF">2021-12-10T01:11:00Z</dcterms:created>
  <dc:creator>归去来</dc:creator>
  <cp:lastModifiedBy>佳浩 吴</cp:lastModifiedBy>
  <dcterms:modified xsi:type="dcterms:W3CDTF">2024-06-13T05:02:00Z</dcterms:modified>
  <cp:revision>323</cp:revision>
</cp:core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51DB3D43EE634D3BB702D3F5F866F8AE</vt:lpwstr>
  </property>
</Properties>
</file>

<file path=customXml/item5.xml><?xml version="1.0" encoding="utf-8"?>
<Properties xmlns="http://schemas.openxmlformats.org/officeDocument/2006/extended-properties" xmlns:vt="http://schemas.openxmlformats.org/officeDocument/2006/docPropsVTypes">
  <Template>Normal.dotm</Template>
  <TotalTime>556</TotalTime>
  <Pages>12</Pages>
  <Words>816</Words>
  <Characters>4657</Characters>
  <Application>Microsoft Office Word</Application>
  <DocSecurity>0</DocSecurity>
  <Lines>38</Lines>
  <Paragraphs>10</Paragraphs>
  <ScaleCrop>false</ScaleCrop>
  <Company/>
  <LinksUpToDate>false</LinksUpToDate>
  <CharactersWithSpaces>5463</CharactersWithSpaces>
  <SharedDoc>false</SharedDoc>
  <HyperlinksChanged>false</HyperlinksChanged>
  <AppVersion>16.0000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2a7752-752b-45b7-bffe-3ecf56c5c10e}">
  <ds:schemaRefs/>
</ds:datastoreItem>
</file>

<file path=customXml/itemProps3.xml><?xml version="1.0" encoding="utf-8"?>
<ds:datastoreItem xmlns:ds="http://schemas.openxmlformats.org/officeDocument/2006/customXml" ds:itemID="{F88D2ECD-F606-45A5-AD68-7D54D6DC8C9F}">
  <ds:schemaRefs/>
</ds:datastoreItem>
</file>

<file path=customXml/itemProps4.xml><?xml version="1.0" encoding="utf-8"?>
<ds:datastoreItem xmlns:ds="http://schemas.openxmlformats.org/officeDocument/2006/customXml" ds:itemID="{67c5fff4-c224-437c-90cd-885d00693396}">
  <ds:schemaRefs/>
</ds:datastoreItem>
</file>

<file path=customXml/itemProps5.xml><?xml version="1.0" encoding="utf-8"?>
<ds:datastoreItem xmlns:ds="http://schemas.openxmlformats.org/officeDocument/2006/customXml" ds:itemID="{35b41efb-dd01-4284-9740-a59e5d41e465}">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11646</Words>
  <Characters>12662</Characters>
  <Lines>38</Lines>
  <Paragraphs>10</Paragraphs>
  <TotalTime>38</TotalTime>
  <ScaleCrop>false</ScaleCrop>
  <LinksUpToDate>false</LinksUpToDate>
  <CharactersWithSpaces>12807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2021-12-10T01:11:00Z</dcterms:created>
  <dc:creator>归去来</dc:creator>
  <cp:lastModifiedBy>Administrator</cp:lastModifiedBy>
  <dcterms:modified xsi:type="dcterms:W3CDTF">2024-11-12T03:34:55Z</dcterms:modified>
  <cp:revision>323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DCF90E00637842D1831FFC98643D38E2_13</vt:lpwstr>
  </property>
</Properties>
</file>