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682D">
      <w:pPr>
        <w:spacing w:line="248" w:lineRule="auto"/>
        <w:rPr>
          <w:rFonts w:ascii="宋体"/>
        </w:rPr>
      </w:pPr>
    </w:p>
    <w:p w14:paraId="328207FC">
      <w:pPr>
        <w:spacing w:line="248" w:lineRule="auto"/>
        <w:rPr>
          <w:rFonts w:ascii="宋体"/>
        </w:rPr>
      </w:pPr>
      <w:bookmarkStart w:id="0" w:name="_Toc28812"/>
    </w:p>
    <w:p w14:paraId="55618BB4">
      <w:pPr>
        <w:spacing w:line="248" w:lineRule="auto"/>
        <w:rPr>
          <w:rFonts w:ascii="宋体"/>
        </w:rPr>
      </w:pPr>
    </w:p>
    <w:p w14:paraId="59A3142D">
      <w:pPr>
        <w:jc w:val="center"/>
        <w:outlineLvl w:val="9"/>
        <w:rPr>
          <w:rFonts w:ascii="楷体" w:hAnsi="楷体" w:eastAsia="楷体" w:cs="楷体"/>
          <w:b/>
          <w:bCs/>
          <w:sz w:val="36"/>
          <w:szCs w:val="36"/>
        </w:rPr>
      </w:pPr>
      <w:bookmarkStart w:id="1" w:name="_Toc16984"/>
      <w:bookmarkStart w:id="2" w:name="_Toc24848"/>
      <w:r>
        <w:rPr>
          <w:rFonts w:ascii="楷体" w:hAnsi="楷体" w:eastAsia="楷体" w:cs="楷体"/>
          <w:b/>
          <w:bCs/>
          <w:sz w:val="36"/>
          <w:szCs w:val="36"/>
        </w:rPr>
        <w:t>县城北片区控制性详细规划编制工作经费</w:t>
      </w:r>
      <w:bookmarkEnd w:id="1"/>
      <w:bookmarkEnd w:id="2"/>
    </w:p>
    <w:p w14:paraId="3091E0F1">
      <w:pPr>
        <w:spacing w:line="248" w:lineRule="auto"/>
        <w:rPr>
          <w:rFonts w:ascii="宋体"/>
        </w:rPr>
      </w:pPr>
    </w:p>
    <w:p w14:paraId="0B5CC850">
      <w:pPr>
        <w:spacing w:line="248" w:lineRule="auto"/>
        <w:rPr>
          <w:rFonts w:ascii="宋体"/>
        </w:rPr>
      </w:pPr>
    </w:p>
    <w:p w14:paraId="510B771C">
      <w:pPr>
        <w:spacing w:line="248" w:lineRule="auto"/>
        <w:rPr>
          <w:rFonts w:ascii="宋体"/>
        </w:rPr>
      </w:pPr>
    </w:p>
    <w:p w14:paraId="59D96A81">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5288EFCC">
      <w:pPr>
        <w:spacing w:line="248" w:lineRule="auto"/>
        <w:rPr>
          <w:rFonts w:ascii="宋体"/>
        </w:rPr>
      </w:pPr>
    </w:p>
    <w:p w14:paraId="468A0AE8">
      <w:pPr>
        <w:spacing w:line="248" w:lineRule="auto"/>
        <w:rPr>
          <w:rFonts w:ascii="宋体"/>
        </w:rPr>
      </w:pPr>
    </w:p>
    <w:p w14:paraId="6CE7F65C">
      <w:pPr>
        <w:spacing w:line="248" w:lineRule="auto"/>
        <w:jc w:val="left"/>
        <w:rPr>
          <w:rFonts w:ascii="宋体"/>
        </w:rPr>
      </w:pPr>
    </w:p>
    <w:p w14:paraId="007AB532">
      <w:pPr>
        <w:spacing w:line="248" w:lineRule="auto"/>
        <w:jc w:val="left"/>
        <w:rPr>
          <w:rFonts w:ascii="宋体"/>
        </w:rPr>
      </w:pPr>
    </w:p>
    <w:p w14:paraId="206CD9DB">
      <w:pPr>
        <w:spacing w:line="248" w:lineRule="auto"/>
        <w:jc w:val="left"/>
        <w:rPr>
          <w:rFonts w:ascii="宋体"/>
        </w:rPr>
      </w:pPr>
    </w:p>
    <w:p w14:paraId="645DCCD2">
      <w:pPr>
        <w:spacing w:line="248" w:lineRule="auto"/>
        <w:jc w:val="left"/>
        <w:rPr>
          <w:rFonts w:ascii="宋体"/>
        </w:rPr>
      </w:pPr>
    </w:p>
    <w:p w14:paraId="1D198AE1">
      <w:pPr>
        <w:spacing w:line="248" w:lineRule="auto"/>
        <w:jc w:val="left"/>
        <w:rPr>
          <w:rFonts w:ascii="宋体"/>
        </w:rPr>
      </w:pPr>
    </w:p>
    <w:p w14:paraId="140C6D62">
      <w:pPr>
        <w:spacing w:line="248" w:lineRule="auto"/>
        <w:rPr>
          <w:rFonts w:ascii="宋体"/>
        </w:rPr>
      </w:pPr>
    </w:p>
    <w:p w14:paraId="45642923">
      <w:pPr>
        <w:spacing w:line="248" w:lineRule="auto"/>
        <w:jc w:val="left"/>
        <w:rPr>
          <w:rFonts w:ascii="宋体"/>
        </w:rPr>
      </w:pPr>
    </w:p>
    <w:p w14:paraId="3DAB9129">
      <w:pPr>
        <w:spacing w:line="248" w:lineRule="auto"/>
        <w:jc w:val="left"/>
        <w:rPr>
          <w:rFonts w:ascii="宋体"/>
        </w:rPr>
      </w:pPr>
    </w:p>
    <w:p w14:paraId="49C9D387">
      <w:pPr>
        <w:spacing w:line="248" w:lineRule="auto"/>
        <w:jc w:val="left"/>
        <w:rPr>
          <w:rFonts w:ascii="宋体"/>
        </w:rPr>
      </w:pPr>
    </w:p>
    <w:p w14:paraId="3B1545B3">
      <w:pPr>
        <w:spacing w:line="248" w:lineRule="auto"/>
        <w:jc w:val="left"/>
        <w:rPr>
          <w:rFonts w:ascii="宋体"/>
        </w:rPr>
      </w:pPr>
    </w:p>
    <w:p w14:paraId="1CF8D659">
      <w:pPr>
        <w:spacing w:line="248" w:lineRule="auto"/>
        <w:jc w:val="left"/>
        <w:rPr>
          <w:rFonts w:ascii="宋体"/>
        </w:rPr>
      </w:pPr>
    </w:p>
    <w:p w14:paraId="0B583D0D">
      <w:pPr>
        <w:spacing w:line="248" w:lineRule="auto"/>
        <w:jc w:val="left"/>
        <w:rPr>
          <w:rFonts w:ascii="宋体"/>
        </w:rPr>
      </w:pPr>
    </w:p>
    <w:p w14:paraId="5215A59F">
      <w:pPr>
        <w:spacing w:line="248" w:lineRule="auto"/>
        <w:rPr>
          <w:rFonts w:ascii="宋体"/>
        </w:rPr>
      </w:pPr>
    </w:p>
    <w:p w14:paraId="7ED5154F">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主管部门：扶风县自然资源局</w:t>
      </w:r>
    </w:p>
    <w:p w14:paraId="726F77F8">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项目单位：扶风县自然资源局</w:t>
      </w:r>
    </w:p>
    <w:p w14:paraId="5E0CBA59">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6A811D07">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5C9516E0">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77A52AF7">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48970C35">
          <w:pPr>
            <w:pStyle w:val="9"/>
            <w:tabs>
              <w:tab w:val="right" w:leader="dot" w:pos="8250"/>
            </w:tabs>
            <w:rPr>
              <w:sz w:val="28"/>
              <w:szCs w:val="24"/>
            </w:rPr>
          </w:pPr>
          <w:r>
            <w:rPr>
              <w:sz w:val="28"/>
              <w:szCs w:val="24"/>
            </w:rPr>
            <w:fldChar w:fldCharType="begin"/>
          </w:r>
          <w:r>
            <w:rPr>
              <w:sz w:val="28"/>
              <w:szCs w:val="24"/>
            </w:rPr>
            <w:instrText xml:space="preserve"> HYPERLINK \l _Toc16648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_Toc16648 \h </w:instrText>
          </w:r>
          <w:r>
            <w:rPr>
              <w:sz w:val="28"/>
              <w:szCs w:val="24"/>
            </w:rPr>
            <w:fldChar w:fldCharType="separate"/>
          </w:r>
          <w:r>
            <w:rPr>
              <w:sz w:val="28"/>
              <w:szCs w:val="24"/>
            </w:rPr>
            <w:t>1</w:t>
          </w:r>
          <w:r>
            <w:rPr>
              <w:sz w:val="28"/>
              <w:szCs w:val="24"/>
            </w:rPr>
            <w:fldChar w:fldCharType="end"/>
          </w:r>
          <w:r>
            <w:rPr>
              <w:sz w:val="28"/>
              <w:szCs w:val="24"/>
            </w:rPr>
            <w:fldChar w:fldCharType="end"/>
          </w:r>
        </w:p>
        <w:p w14:paraId="2FBE7908">
          <w:pPr>
            <w:pStyle w:val="9"/>
            <w:tabs>
              <w:tab w:val="right" w:leader="dot" w:pos="8250"/>
            </w:tabs>
            <w:rPr>
              <w:sz w:val="28"/>
              <w:szCs w:val="24"/>
            </w:rPr>
          </w:pPr>
          <w:r>
            <w:rPr>
              <w:sz w:val="28"/>
              <w:szCs w:val="24"/>
            </w:rPr>
            <w:fldChar w:fldCharType="begin"/>
          </w:r>
          <w:r>
            <w:rPr>
              <w:sz w:val="28"/>
              <w:szCs w:val="24"/>
            </w:rPr>
            <w:instrText xml:space="preserve"> HYPERLINK \l _Toc32591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_Toc32591 \h </w:instrText>
          </w:r>
          <w:r>
            <w:rPr>
              <w:sz w:val="28"/>
              <w:szCs w:val="24"/>
            </w:rPr>
            <w:fldChar w:fldCharType="separate"/>
          </w:r>
          <w:r>
            <w:rPr>
              <w:sz w:val="28"/>
              <w:szCs w:val="24"/>
            </w:rPr>
            <w:t>1</w:t>
          </w:r>
          <w:r>
            <w:rPr>
              <w:sz w:val="28"/>
              <w:szCs w:val="24"/>
            </w:rPr>
            <w:fldChar w:fldCharType="end"/>
          </w:r>
          <w:r>
            <w:rPr>
              <w:sz w:val="28"/>
              <w:szCs w:val="24"/>
            </w:rPr>
            <w:fldChar w:fldCharType="end"/>
          </w:r>
        </w:p>
        <w:p w14:paraId="4B4648FD">
          <w:pPr>
            <w:pStyle w:val="10"/>
            <w:tabs>
              <w:tab w:val="right" w:leader="dot" w:pos="8250"/>
            </w:tabs>
            <w:rPr>
              <w:sz w:val="28"/>
              <w:szCs w:val="24"/>
            </w:rPr>
          </w:pPr>
          <w:r>
            <w:rPr>
              <w:sz w:val="28"/>
              <w:szCs w:val="24"/>
            </w:rPr>
            <w:fldChar w:fldCharType="begin"/>
          </w:r>
          <w:r>
            <w:rPr>
              <w:sz w:val="28"/>
              <w:szCs w:val="24"/>
            </w:rPr>
            <w:instrText xml:space="preserve"> HYPERLINK \l _Toc31750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_Toc31750 \h </w:instrText>
          </w:r>
          <w:r>
            <w:rPr>
              <w:sz w:val="28"/>
              <w:szCs w:val="24"/>
            </w:rPr>
            <w:fldChar w:fldCharType="separate"/>
          </w:r>
          <w:r>
            <w:rPr>
              <w:sz w:val="28"/>
              <w:szCs w:val="24"/>
            </w:rPr>
            <w:t>1</w:t>
          </w:r>
          <w:r>
            <w:rPr>
              <w:sz w:val="28"/>
              <w:szCs w:val="24"/>
            </w:rPr>
            <w:fldChar w:fldCharType="end"/>
          </w:r>
          <w:r>
            <w:rPr>
              <w:sz w:val="28"/>
              <w:szCs w:val="24"/>
            </w:rPr>
            <w:fldChar w:fldCharType="end"/>
          </w:r>
        </w:p>
        <w:p w14:paraId="5B0CCA6C">
          <w:pPr>
            <w:pStyle w:val="10"/>
            <w:tabs>
              <w:tab w:val="right" w:leader="dot" w:pos="8250"/>
            </w:tabs>
            <w:rPr>
              <w:sz w:val="28"/>
              <w:szCs w:val="24"/>
            </w:rPr>
          </w:pPr>
          <w:r>
            <w:rPr>
              <w:sz w:val="28"/>
              <w:szCs w:val="24"/>
            </w:rPr>
            <w:fldChar w:fldCharType="begin"/>
          </w:r>
          <w:r>
            <w:rPr>
              <w:sz w:val="28"/>
              <w:szCs w:val="24"/>
            </w:rPr>
            <w:instrText xml:space="preserve"> HYPERLINK \l _Toc16619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_Toc16619 \h </w:instrText>
          </w:r>
          <w:r>
            <w:rPr>
              <w:sz w:val="28"/>
              <w:szCs w:val="24"/>
            </w:rPr>
            <w:fldChar w:fldCharType="separate"/>
          </w:r>
          <w:r>
            <w:rPr>
              <w:sz w:val="28"/>
              <w:szCs w:val="24"/>
            </w:rPr>
            <w:t>2</w:t>
          </w:r>
          <w:r>
            <w:rPr>
              <w:sz w:val="28"/>
              <w:szCs w:val="24"/>
            </w:rPr>
            <w:fldChar w:fldCharType="end"/>
          </w:r>
          <w:r>
            <w:rPr>
              <w:sz w:val="28"/>
              <w:szCs w:val="24"/>
            </w:rPr>
            <w:fldChar w:fldCharType="end"/>
          </w:r>
        </w:p>
        <w:p w14:paraId="2070A8A2">
          <w:pPr>
            <w:pStyle w:val="9"/>
            <w:tabs>
              <w:tab w:val="right" w:leader="dot" w:pos="8250"/>
            </w:tabs>
            <w:rPr>
              <w:sz w:val="28"/>
              <w:szCs w:val="24"/>
            </w:rPr>
          </w:pPr>
          <w:r>
            <w:rPr>
              <w:sz w:val="28"/>
              <w:szCs w:val="24"/>
            </w:rPr>
            <w:fldChar w:fldCharType="begin"/>
          </w:r>
          <w:r>
            <w:rPr>
              <w:sz w:val="28"/>
              <w:szCs w:val="24"/>
            </w:rPr>
            <w:instrText xml:space="preserve"> HYPERLINK \l _Toc23565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_Toc23565 \h </w:instrText>
          </w:r>
          <w:r>
            <w:rPr>
              <w:sz w:val="28"/>
              <w:szCs w:val="24"/>
            </w:rPr>
            <w:fldChar w:fldCharType="separate"/>
          </w:r>
          <w:r>
            <w:rPr>
              <w:sz w:val="28"/>
              <w:szCs w:val="24"/>
            </w:rPr>
            <w:t>3</w:t>
          </w:r>
          <w:r>
            <w:rPr>
              <w:sz w:val="28"/>
              <w:szCs w:val="24"/>
            </w:rPr>
            <w:fldChar w:fldCharType="end"/>
          </w:r>
          <w:r>
            <w:rPr>
              <w:sz w:val="28"/>
              <w:szCs w:val="24"/>
            </w:rPr>
            <w:fldChar w:fldCharType="end"/>
          </w:r>
        </w:p>
        <w:p w14:paraId="2F42B1AB">
          <w:pPr>
            <w:pStyle w:val="10"/>
            <w:tabs>
              <w:tab w:val="right" w:leader="dot" w:pos="8250"/>
            </w:tabs>
            <w:rPr>
              <w:sz w:val="28"/>
              <w:szCs w:val="24"/>
            </w:rPr>
          </w:pPr>
          <w:r>
            <w:rPr>
              <w:sz w:val="28"/>
              <w:szCs w:val="24"/>
            </w:rPr>
            <w:fldChar w:fldCharType="begin"/>
          </w:r>
          <w:r>
            <w:rPr>
              <w:sz w:val="28"/>
              <w:szCs w:val="24"/>
            </w:rPr>
            <w:instrText xml:space="preserve"> HYPERLINK \l _Toc15457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_Toc15457 \h </w:instrText>
          </w:r>
          <w:r>
            <w:rPr>
              <w:sz w:val="28"/>
              <w:szCs w:val="24"/>
            </w:rPr>
            <w:fldChar w:fldCharType="separate"/>
          </w:r>
          <w:r>
            <w:rPr>
              <w:sz w:val="28"/>
              <w:szCs w:val="24"/>
            </w:rPr>
            <w:t>3</w:t>
          </w:r>
          <w:r>
            <w:rPr>
              <w:sz w:val="28"/>
              <w:szCs w:val="24"/>
            </w:rPr>
            <w:fldChar w:fldCharType="end"/>
          </w:r>
          <w:r>
            <w:rPr>
              <w:sz w:val="28"/>
              <w:szCs w:val="24"/>
            </w:rPr>
            <w:fldChar w:fldCharType="end"/>
          </w:r>
        </w:p>
        <w:p w14:paraId="7C25D57A">
          <w:pPr>
            <w:pStyle w:val="10"/>
            <w:tabs>
              <w:tab w:val="right" w:leader="dot" w:pos="8250"/>
            </w:tabs>
            <w:rPr>
              <w:sz w:val="28"/>
              <w:szCs w:val="24"/>
            </w:rPr>
          </w:pPr>
          <w:r>
            <w:rPr>
              <w:sz w:val="28"/>
              <w:szCs w:val="24"/>
            </w:rPr>
            <w:fldChar w:fldCharType="begin"/>
          </w:r>
          <w:r>
            <w:rPr>
              <w:sz w:val="28"/>
              <w:szCs w:val="24"/>
            </w:rPr>
            <w:instrText xml:space="preserve"> HYPERLINK \l _Toc30888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_Toc30888 \h </w:instrText>
          </w:r>
          <w:r>
            <w:rPr>
              <w:sz w:val="28"/>
              <w:szCs w:val="24"/>
            </w:rPr>
            <w:fldChar w:fldCharType="separate"/>
          </w:r>
          <w:r>
            <w:rPr>
              <w:sz w:val="28"/>
              <w:szCs w:val="24"/>
            </w:rPr>
            <w:t>3</w:t>
          </w:r>
          <w:r>
            <w:rPr>
              <w:sz w:val="28"/>
              <w:szCs w:val="24"/>
            </w:rPr>
            <w:fldChar w:fldCharType="end"/>
          </w:r>
          <w:r>
            <w:rPr>
              <w:sz w:val="28"/>
              <w:szCs w:val="24"/>
            </w:rPr>
            <w:fldChar w:fldCharType="end"/>
          </w:r>
        </w:p>
        <w:p w14:paraId="18E09AB6">
          <w:pPr>
            <w:pStyle w:val="10"/>
            <w:tabs>
              <w:tab w:val="right" w:leader="dot" w:pos="8250"/>
            </w:tabs>
            <w:rPr>
              <w:sz w:val="28"/>
              <w:szCs w:val="24"/>
            </w:rPr>
          </w:pPr>
          <w:r>
            <w:rPr>
              <w:sz w:val="28"/>
              <w:szCs w:val="24"/>
            </w:rPr>
            <w:fldChar w:fldCharType="begin"/>
          </w:r>
          <w:r>
            <w:rPr>
              <w:sz w:val="28"/>
              <w:szCs w:val="24"/>
            </w:rPr>
            <w:instrText xml:space="preserve"> HYPERLINK \l _Toc5307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_Toc5307 \h </w:instrText>
          </w:r>
          <w:r>
            <w:rPr>
              <w:sz w:val="28"/>
              <w:szCs w:val="24"/>
            </w:rPr>
            <w:fldChar w:fldCharType="separate"/>
          </w:r>
          <w:r>
            <w:rPr>
              <w:sz w:val="28"/>
              <w:szCs w:val="24"/>
            </w:rPr>
            <w:t>6</w:t>
          </w:r>
          <w:r>
            <w:rPr>
              <w:sz w:val="28"/>
              <w:szCs w:val="24"/>
            </w:rPr>
            <w:fldChar w:fldCharType="end"/>
          </w:r>
          <w:r>
            <w:rPr>
              <w:sz w:val="28"/>
              <w:szCs w:val="24"/>
            </w:rPr>
            <w:fldChar w:fldCharType="end"/>
          </w:r>
        </w:p>
        <w:p w14:paraId="3CA4DCF8">
          <w:pPr>
            <w:pStyle w:val="9"/>
            <w:tabs>
              <w:tab w:val="right" w:leader="dot" w:pos="8250"/>
            </w:tabs>
            <w:rPr>
              <w:sz w:val="28"/>
              <w:szCs w:val="24"/>
            </w:rPr>
          </w:pPr>
          <w:r>
            <w:rPr>
              <w:sz w:val="28"/>
              <w:szCs w:val="24"/>
            </w:rPr>
            <w:fldChar w:fldCharType="begin"/>
          </w:r>
          <w:r>
            <w:rPr>
              <w:sz w:val="28"/>
              <w:szCs w:val="24"/>
            </w:rPr>
            <w:instrText xml:space="preserve"> HYPERLINK \l _Toc21432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_Toc21432 \h </w:instrText>
          </w:r>
          <w:r>
            <w:rPr>
              <w:sz w:val="28"/>
              <w:szCs w:val="24"/>
            </w:rPr>
            <w:fldChar w:fldCharType="separate"/>
          </w:r>
          <w:r>
            <w:rPr>
              <w:sz w:val="28"/>
              <w:szCs w:val="24"/>
            </w:rPr>
            <w:t>9</w:t>
          </w:r>
          <w:r>
            <w:rPr>
              <w:sz w:val="28"/>
              <w:szCs w:val="24"/>
            </w:rPr>
            <w:fldChar w:fldCharType="end"/>
          </w:r>
          <w:r>
            <w:rPr>
              <w:sz w:val="28"/>
              <w:szCs w:val="24"/>
            </w:rPr>
            <w:fldChar w:fldCharType="end"/>
          </w:r>
        </w:p>
        <w:p w14:paraId="63342249">
          <w:pPr>
            <w:pStyle w:val="9"/>
            <w:tabs>
              <w:tab w:val="right" w:leader="dot" w:pos="8250"/>
            </w:tabs>
            <w:rPr>
              <w:sz w:val="28"/>
              <w:szCs w:val="24"/>
            </w:rPr>
          </w:pPr>
          <w:r>
            <w:rPr>
              <w:sz w:val="28"/>
              <w:szCs w:val="24"/>
            </w:rPr>
            <w:fldChar w:fldCharType="begin"/>
          </w:r>
          <w:r>
            <w:rPr>
              <w:sz w:val="28"/>
              <w:szCs w:val="24"/>
            </w:rPr>
            <w:instrText xml:space="preserve"> HYPERLINK \l _Toc2895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_Toc2895 \h </w:instrText>
          </w:r>
          <w:r>
            <w:rPr>
              <w:sz w:val="28"/>
              <w:szCs w:val="24"/>
            </w:rPr>
            <w:fldChar w:fldCharType="separate"/>
          </w:r>
          <w:r>
            <w:rPr>
              <w:sz w:val="28"/>
              <w:szCs w:val="24"/>
            </w:rPr>
            <w:t>9</w:t>
          </w:r>
          <w:r>
            <w:rPr>
              <w:sz w:val="28"/>
              <w:szCs w:val="24"/>
            </w:rPr>
            <w:fldChar w:fldCharType="end"/>
          </w:r>
          <w:r>
            <w:rPr>
              <w:sz w:val="28"/>
              <w:szCs w:val="24"/>
            </w:rPr>
            <w:fldChar w:fldCharType="end"/>
          </w:r>
        </w:p>
        <w:p w14:paraId="74004309">
          <w:pPr>
            <w:pStyle w:val="10"/>
            <w:tabs>
              <w:tab w:val="right" w:leader="dot" w:pos="8250"/>
            </w:tabs>
            <w:rPr>
              <w:sz w:val="28"/>
              <w:szCs w:val="24"/>
            </w:rPr>
          </w:pPr>
          <w:r>
            <w:rPr>
              <w:sz w:val="28"/>
              <w:szCs w:val="24"/>
            </w:rPr>
            <w:fldChar w:fldCharType="begin"/>
          </w:r>
          <w:r>
            <w:rPr>
              <w:sz w:val="28"/>
              <w:szCs w:val="24"/>
            </w:rPr>
            <w:instrText xml:space="preserve"> HYPERLINK \l _Toc15439 </w:instrText>
          </w:r>
          <w:r>
            <w:rPr>
              <w:sz w:val="28"/>
              <w:szCs w:val="24"/>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_Toc15439 \h </w:instrText>
          </w:r>
          <w:r>
            <w:rPr>
              <w:sz w:val="28"/>
              <w:szCs w:val="24"/>
            </w:rPr>
            <w:fldChar w:fldCharType="separate"/>
          </w:r>
          <w:r>
            <w:rPr>
              <w:sz w:val="28"/>
              <w:szCs w:val="24"/>
            </w:rPr>
            <w:t>9</w:t>
          </w:r>
          <w:r>
            <w:rPr>
              <w:sz w:val="28"/>
              <w:szCs w:val="24"/>
            </w:rPr>
            <w:fldChar w:fldCharType="end"/>
          </w:r>
          <w:r>
            <w:rPr>
              <w:sz w:val="28"/>
              <w:szCs w:val="24"/>
            </w:rPr>
            <w:fldChar w:fldCharType="end"/>
          </w:r>
        </w:p>
        <w:p w14:paraId="35AC888D">
          <w:pPr>
            <w:pStyle w:val="10"/>
            <w:tabs>
              <w:tab w:val="right" w:leader="dot" w:pos="8250"/>
            </w:tabs>
            <w:rPr>
              <w:sz w:val="28"/>
              <w:szCs w:val="24"/>
            </w:rPr>
          </w:pPr>
          <w:r>
            <w:rPr>
              <w:sz w:val="28"/>
              <w:szCs w:val="24"/>
            </w:rPr>
            <w:fldChar w:fldCharType="begin"/>
          </w:r>
          <w:r>
            <w:rPr>
              <w:sz w:val="28"/>
              <w:szCs w:val="24"/>
            </w:rPr>
            <w:instrText xml:space="preserve"> HYPERLINK \l _Toc16820 </w:instrText>
          </w:r>
          <w:r>
            <w:rPr>
              <w:sz w:val="28"/>
              <w:szCs w:val="24"/>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_Toc16820 \h </w:instrText>
          </w:r>
          <w:r>
            <w:rPr>
              <w:sz w:val="28"/>
              <w:szCs w:val="24"/>
            </w:rPr>
            <w:fldChar w:fldCharType="separate"/>
          </w:r>
          <w:r>
            <w:rPr>
              <w:sz w:val="28"/>
              <w:szCs w:val="24"/>
            </w:rPr>
            <w:t>11</w:t>
          </w:r>
          <w:r>
            <w:rPr>
              <w:sz w:val="28"/>
              <w:szCs w:val="24"/>
            </w:rPr>
            <w:fldChar w:fldCharType="end"/>
          </w:r>
          <w:r>
            <w:rPr>
              <w:sz w:val="28"/>
              <w:szCs w:val="24"/>
            </w:rPr>
            <w:fldChar w:fldCharType="end"/>
          </w:r>
        </w:p>
        <w:p w14:paraId="5C8DF76A">
          <w:pPr>
            <w:pStyle w:val="10"/>
            <w:tabs>
              <w:tab w:val="right" w:leader="dot" w:pos="8250"/>
            </w:tabs>
            <w:rPr>
              <w:sz w:val="28"/>
              <w:szCs w:val="24"/>
            </w:rPr>
          </w:pPr>
          <w:r>
            <w:rPr>
              <w:sz w:val="28"/>
              <w:szCs w:val="24"/>
            </w:rPr>
            <w:fldChar w:fldCharType="begin"/>
          </w:r>
          <w:r>
            <w:rPr>
              <w:sz w:val="28"/>
              <w:szCs w:val="24"/>
            </w:rPr>
            <w:instrText xml:space="preserve"> HYPERLINK \l _Toc18762 </w:instrText>
          </w:r>
          <w:r>
            <w:rPr>
              <w:sz w:val="28"/>
              <w:szCs w:val="24"/>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_Toc18762 \h </w:instrText>
          </w:r>
          <w:r>
            <w:rPr>
              <w:sz w:val="28"/>
              <w:szCs w:val="24"/>
            </w:rPr>
            <w:fldChar w:fldCharType="separate"/>
          </w:r>
          <w:r>
            <w:rPr>
              <w:sz w:val="28"/>
              <w:szCs w:val="24"/>
            </w:rPr>
            <w:t>13</w:t>
          </w:r>
          <w:r>
            <w:rPr>
              <w:sz w:val="28"/>
              <w:szCs w:val="24"/>
            </w:rPr>
            <w:fldChar w:fldCharType="end"/>
          </w:r>
          <w:r>
            <w:rPr>
              <w:sz w:val="28"/>
              <w:szCs w:val="24"/>
            </w:rPr>
            <w:fldChar w:fldCharType="end"/>
          </w:r>
        </w:p>
        <w:p w14:paraId="574FFEC9">
          <w:pPr>
            <w:pStyle w:val="10"/>
            <w:tabs>
              <w:tab w:val="right" w:leader="dot" w:pos="8250"/>
            </w:tabs>
            <w:rPr>
              <w:sz w:val="28"/>
              <w:szCs w:val="24"/>
            </w:rPr>
          </w:pPr>
          <w:r>
            <w:rPr>
              <w:sz w:val="28"/>
              <w:szCs w:val="24"/>
            </w:rPr>
            <w:fldChar w:fldCharType="begin"/>
          </w:r>
          <w:r>
            <w:rPr>
              <w:sz w:val="28"/>
              <w:szCs w:val="24"/>
            </w:rPr>
            <w:instrText xml:space="preserve"> HYPERLINK \l _Toc2152 </w:instrText>
          </w:r>
          <w:r>
            <w:rPr>
              <w:sz w:val="28"/>
              <w:szCs w:val="24"/>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_Toc2152 \h </w:instrText>
          </w:r>
          <w:r>
            <w:rPr>
              <w:sz w:val="28"/>
              <w:szCs w:val="24"/>
            </w:rPr>
            <w:fldChar w:fldCharType="separate"/>
          </w:r>
          <w:r>
            <w:rPr>
              <w:sz w:val="28"/>
              <w:szCs w:val="24"/>
            </w:rPr>
            <w:t>14</w:t>
          </w:r>
          <w:r>
            <w:rPr>
              <w:sz w:val="28"/>
              <w:szCs w:val="24"/>
            </w:rPr>
            <w:fldChar w:fldCharType="end"/>
          </w:r>
          <w:r>
            <w:rPr>
              <w:sz w:val="28"/>
              <w:szCs w:val="24"/>
            </w:rPr>
            <w:fldChar w:fldCharType="end"/>
          </w:r>
        </w:p>
        <w:p w14:paraId="363E4CD6">
          <w:pPr>
            <w:pStyle w:val="9"/>
            <w:tabs>
              <w:tab w:val="right" w:leader="dot" w:pos="8250"/>
            </w:tabs>
            <w:rPr>
              <w:sz w:val="28"/>
              <w:szCs w:val="24"/>
            </w:rPr>
          </w:pPr>
          <w:r>
            <w:rPr>
              <w:sz w:val="28"/>
              <w:szCs w:val="24"/>
            </w:rPr>
            <w:fldChar w:fldCharType="begin"/>
          </w:r>
          <w:r>
            <w:rPr>
              <w:sz w:val="28"/>
              <w:szCs w:val="24"/>
            </w:rPr>
            <w:instrText xml:space="preserve"> HYPERLINK \l _Toc12768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_Toc12768 \h </w:instrText>
          </w:r>
          <w:r>
            <w:rPr>
              <w:sz w:val="28"/>
              <w:szCs w:val="24"/>
            </w:rPr>
            <w:fldChar w:fldCharType="separate"/>
          </w:r>
          <w:r>
            <w:rPr>
              <w:sz w:val="28"/>
              <w:szCs w:val="24"/>
            </w:rPr>
            <w:t>15</w:t>
          </w:r>
          <w:r>
            <w:rPr>
              <w:sz w:val="28"/>
              <w:szCs w:val="24"/>
            </w:rPr>
            <w:fldChar w:fldCharType="end"/>
          </w:r>
          <w:r>
            <w:rPr>
              <w:sz w:val="28"/>
              <w:szCs w:val="24"/>
            </w:rPr>
            <w:fldChar w:fldCharType="end"/>
          </w:r>
        </w:p>
        <w:p w14:paraId="7E1D4241">
          <w:pPr>
            <w:pStyle w:val="10"/>
            <w:tabs>
              <w:tab w:val="right" w:leader="dot" w:pos="8250"/>
            </w:tabs>
            <w:rPr>
              <w:sz w:val="28"/>
              <w:szCs w:val="24"/>
            </w:rPr>
          </w:pPr>
          <w:r>
            <w:rPr>
              <w:sz w:val="28"/>
              <w:szCs w:val="24"/>
            </w:rPr>
            <w:fldChar w:fldCharType="begin"/>
          </w:r>
          <w:r>
            <w:rPr>
              <w:sz w:val="28"/>
              <w:szCs w:val="24"/>
            </w:rPr>
            <w:instrText xml:space="preserve"> HYPERLINK \l _Toc1969 </w:instrText>
          </w:r>
          <w:r>
            <w:rPr>
              <w:sz w:val="28"/>
              <w:szCs w:val="24"/>
            </w:rPr>
            <w:fldChar w:fldCharType="separate"/>
          </w:r>
          <w:r>
            <w:rPr>
              <w:rFonts w:hint="eastAsia" w:ascii="楷体_GB2312" w:hAnsi="楷体_GB2312" w:eastAsia="楷体_GB2312" w:cs="楷体_GB2312"/>
              <w:bCs/>
              <w:kern w:val="0"/>
              <w:sz w:val="28"/>
              <w:szCs w:val="44"/>
            </w:rPr>
            <w:t>（一）项目</w:t>
          </w:r>
          <w:r>
            <w:rPr>
              <w:rFonts w:hint="eastAsia" w:ascii="楷体_GB2312" w:hAnsi="楷体_GB2312" w:eastAsia="楷体_GB2312" w:cs="楷体_GB2312"/>
              <w:bCs/>
              <w:kern w:val="0"/>
              <w:sz w:val="28"/>
              <w:szCs w:val="44"/>
              <w:lang w:val="en-US" w:eastAsia="zh-CN"/>
            </w:rPr>
            <w:t>单位未提供</w:t>
          </w:r>
          <w:r>
            <w:rPr>
              <w:rFonts w:hint="eastAsia" w:ascii="楷体_GB2312" w:hAnsi="楷体_GB2312" w:eastAsia="楷体_GB2312" w:cs="楷体_GB2312"/>
              <w:bCs/>
              <w:kern w:val="0"/>
              <w:sz w:val="28"/>
              <w:szCs w:val="44"/>
            </w:rPr>
            <w:t>绩效目标</w:t>
          </w:r>
          <w:r>
            <w:rPr>
              <w:rFonts w:hint="eastAsia" w:ascii="楷体_GB2312" w:hAnsi="楷体_GB2312" w:eastAsia="楷体_GB2312" w:cs="楷体_GB2312"/>
              <w:bCs/>
              <w:kern w:val="0"/>
              <w:sz w:val="28"/>
              <w:szCs w:val="44"/>
              <w:lang w:val="en-US" w:eastAsia="zh-CN"/>
            </w:rPr>
            <w:t>申报表</w:t>
          </w:r>
          <w:r>
            <w:rPr>
              <w:sz w:val="28"/>
              <w:szCs w:val="24"/>
            </w:rPr>
            <w:tab/>
          </w:r>
          <w:r>
            <w:rPr>
              <w:sz w:val="28"/>
              <w:szCs w:val="24"/>
            </w:rPr>
            <w:fldChar w:fldCharType="begin"/>
          </w:r>
          <w:r>
            <w:rPr>
              <w:sz w:val="28"/>
              <w:szCs w:val="24"/>
            </w:rPr>
            <w:instrText xml:space="preserve"> PAGEREF _Toc1969 \h </w:instrText>
          </w:r>
          <w:r>
            <w:rPr>
              <w:sz w:val="28"/>
              <w:szCs w:val="24"/>
            </w:rPr>
            <w:fldChar w:fldCharType="separate"/>
          </w:r>
          <w:r>
            <w:rPr>
              <w:sz w:val="28"/>
              <w:szCs w:val="24"/>
            </w:rPr>
            <w:t>15</w:t>
          </w:r>
          <w:r>
            <w:rPr>
              <w:sz w:val="28"/>
              <w:szCs w:val="24"/>
            </w:rPr>
            <w:fldChar w:fldCharType="end"/>
          </w:r>
          <w:r>
            <w:rPr>
              <w:sz w:val="28"/>
              <w:szCs w:val="24"/>
            </w:rPr>
            <w:fldChar w:fldCharType="end"/>
          </w:r>
        </w:p>
        <w:p w14:paraId="11191510">
          <w:pPr>
            <w:pStyle w:val="10"/>
            <w:tabs>
              <w:tab w:val="right" w:leader="dot" w:pos="8250"/>
            </w:tabs>
            <w:rPr>
              <w:sz w:val="28"/>
              <w:szCs w:val="24"/>
            </w:rPr>
          </w:pPr>
          <w:r>
            <w:rPr>
              <w:sz w:val="28"/>
              <w:szCs w:val="24"/>
            </w:rPr>
            <w:fldChar w:fldCharType="begin"/>
          </w:r>
          <w:r>
            <w:rPr>
              <w:sz w:val="28"/>
              <w:szCs w:val="24"/>
            </w:rPr>
            <w:instrText xml:space="preserve"> HYPERLINK \l _Toc15232 </w:instrText>
          </w:r>
          <w:r>
            <w:rPr>
              <w:sz w:val="28"/>
              <w:szCs w:val="24"/>
            </w:rPr>
            <w:fldChar w:fldCharType="separate"/>
          </w:r>
          <w:r>
            <w:rPr>
              <w:rFonts w:hint="eastAsia" w:ascii="楷体_GB2312" w:hAnsi="楷体_GB2312" w:eastAsia="楷体_GB2312" w:cs="楷体_GB2312"/>
              <w:bCs/>
              <w:kern w:val="0"/>
              <w:sz w:val="28"/>
              <w:szCs w:val="44"/>
            </w:rPr>
            <w:t>（二）项目单位没有制定相应的财务和业务管理制度</w:t>
          </w:r>
          <w:r>
            <w:rPr>
              <w:sz w:val="28"/>
              <w:szCs w:val="24"/>
            </w:rPr>
            <w:tab/>
          </w:r>
          <w:r>
            <w:rPr>
              <w:sz w:val="28"/>
              <w:szCs w:val="24"/>
            </w:rPr>
            <w:fldChar w:fldCharType="begin"/>
          </w:r>
          <w:r>
            <w:rPr>
              <w:sz w:val="28"/>
              <w:szCs w:val="24"/>
            </w:rPr>
            <w:instrText xml:space="preserve"> PAGEREF _Toc15232 \h </w:instrText>
          </w:r>
          <w:r>
            <w:rPr>
              <w:sz w:val="28"/>
              <w:szCs w:val="24"/>
            </w:rPr>
            <w:fldChar w:fldCharType="separate"/>
          </w:r>
          <w:r>
            <w:rPr>
              <w:sz w:val="28"/>
              <w:szCs w:val="24"/>
            </w:rPr>
            <w:t>15</w:t>
          </w:r>
          <w:r>
            <w:rPr>
              <w:sz w:val="28"/>
              <w:szCs w:val="24"/>
            </w:rPr>
            <w:fldChar w:fldCharType="end"/>
          </w:r>
          <w:r>
            <w:rPr>
              <w:sz w:val="28"/>
              <w:szCs w:val="24"/>
            </w:rPr>
            <w:fldChar w:fldCharType="end"/>
          </w:r>
        </w:p>
        <w:p w14:paraId="269D894F">
          <w:pPr>
            <w:pStyle w:val="10"/>
            <w:tabs>
              <w:tab w:val="right" w:leader="dot" w:pos="8250"/>
            </w:tabs>
            <w:rPr>
              <w:sz w:val="28"/>
              <w:szCs w:val="24"/>
            </w:rPr>
          </w:pPr>
          <w:r>
            <w:rPr>
              <w:sz w:val="28"/>
              <w:szCs w:val="24"/>
            </w:rPr>
            <w:fldChar w:fldCharType="begin"/>
          </w:r>
          <w:r>
            <w:rPr>
              <w:sz w:val="28"/>
              <w:szCs w:val="24"/>
            </w:rPr>
            <w:instrText xml:space="preserve"> HYPERLINK \l _Toc15488 </w:instrText>
          </w:r>
          <w:r>
            <w:rPr>
              <w:sz w:val="28"/>
              <w:szCs w:val="24"/>
            </w:rPr>
            <w:fldChar w:fldCharType="separate"/>
          </w:r>
          <w:r>
            <w:rPr>
              <w:rFonts w:hint="eastAsia" w:ascii="楷体_GB2312" w:hAnsi="楷体_GB2312" w:eastAsia="楷体_GB2312" w:cs="楷体_GB2312"/>
              <w:bCs/>
              <w:kern w:val="0"/>
              <w:sz w:val="28"/>
              <w:szCs w:val="44"/>
            </w:rPr>
            <w:t>（三）项目实施单位未编制自评报告</w:t>
          </w:r>
          <w:r>
            <w:rPr>
              <w:sz w:val="28"/>
              <w:szCs w:val="24"/>
            </w:rPr>
            <w:tab/>
          </w:r>
          <w:r>
            <w:rPr>
              <w:sz w:val="28"/>
              <w:szCs w:val="24"/>
            </w:rPr>
            <w:fldChar w:fldCharType="begin"/>
          </w:r>
          <w:r>
            <w:rPr>
              <w:sz w:val="28"/>
              <w:szCs w:val="24"/>
            </w:rPr>
            <w:instrText xml:space="preserve"> PAGEREF _Toc15488 \h </w:instrText>
          </w:r>
          <w:r>
            <w:rPr>
              <w:sz w:val="28"/>
              <w:szCs w:val="24"/>
            </w:rPr>
            <w:fldChar w:fldCharType="separate"/>
          </w:r>
          <w:r>
            <w:rPr>
              <w:sz w:val="28"/>
              <w:szCs w:val="24"/>
            </w:rPr>
            <w:t>15</w:t>
          </w:r>
          <w:r>
            <w:rPr>
              <w:sz w:val="28"/>
              <w:szCs w:val="24"/>
            </w:rPr>
            <w:fldChar w:fldCharType="end"/>
          </w:r>
          <w:r>
            <w:rPr>
              <w:sz w:val="28"/>
              <w:szCs w:val="24"/>
            </w:rPr>
            <w:fldChar w:fldCharType="end"/>
          </w:r>
        </w:p>
        <w:p w14:paraId="5F44766E">
          <w:pPr>
            <w:pStyle w:val="10"/>
            <w:tabs>
              <w:tab w:val="right" w:leader="dot" w:pos="8250"/>
            </w:tabs>
            <w:rPr>
              <w:sz w:val="28"/>
              <w:szCs w:val="24"/>
            </w:rPr>
          </w:pPr>
          <w:r>
            <w:rPr>
              <w:sz w:val="28"/>
              <w:szCs w:val="24"/>
            </w:rPr>
            <w:fldChar w:fldCharType="begin"/>
          </w:r>
          <w:r>
            <w:rPr>
              <w:sz w:val="28"/>
              <w:szCs w:val="24"/>
            </w:rPr>
            <w:instrText xml:space="preserve"> HYPERLINK \l _Toc28587 </w:instrText>
          </w:r>
          <w:r>
            <w:rPr>
              <w:sz w:val="28"/>
              <w:szCs w:val="24"/>
            </w:rPr>
            <w:fldChar w:fldCharType="separate"/>
          </w:r>
          <w:r>
            <w:rPr>
              <w:rFonts w:hint="eastAsia" w:ascii="楷体_GB2312" w:hAnsi="楷体_GB2312" w:eastAsia="楷体_GB2312" w:cs="楷体_GB2312"/>
              <w:bCs/>
              <w:kern w:val="0"/>
              <w:sz w:val="28"/>
              <w:szCs w:val="44"/>
            </w:rPr>
            <w:t>（四）项目成本超支</w:t>
          </w:r>
          <w:r>
            <w:rPr>
              <w:sz w:val="28"/>
              <w:szCs w:val="24"/>
            </w:rPr>
            <w:tab/>
          </w:r>
          <w:r>
            <w:rPr>
              <w:sz w:val="28"/>
              <w:szCs w:val="24"/>
            </w:rPr>
            <w:fldChar w:fldCharType="begin"/>
          </w:r>
          <w:r>
            <w:rPr>
              <w:sz w:val="28"/>
              <w:szCs w:val="24"/>
            </w:rPr>
            <w:instrText xml:space="preserve"> PAGEREF _Toc28587 \h </w:instrText>
          </w:r>
          <w:r>
            <w:rPr>
              <w:sz w:val="28"/>
              <w:szCs w:val="24"/>
            </w:rPr>
            <w:fldChar w:fldCharType="separate"/>
          </w:r>
          <w:r>
            <w:rPr>
              <w:sz w:val="28"/>
              <w:szCs w:val="24"/>
            </w:rPr>
            <w:t>15</w:t>
          </w:r>
          <w:r>
            <w:rPr>
              <w:sz w:val="28"/>
              <w:szCs w:val="24"/>
            </w:rPr>
            <w:fldChar w:fldCharType="end"/>
          </w:r>
          <w:r>
            <w:rPr>
              <w:sz w:val="28"/>
              <w:szCs w:val="24"/>
            </w:rPr>
            <w:fldChar w:fldCharType="end"/>
          </w:r>
        </w:p>
        <w:p w14:paraId="12157C67">
          <w:pPr>
            <w:pStyle w:val="9"/>
            <w:tabs>
              <w:tab w:val="right" w:leader="dot" w:pos="8250"/>
            </w:tabs>
            <w:rPr>
              <w:sz w:val="28"/>
              <w:szCs w:val="24"/>
            </w:rPr>
          </w:pPr>
          <w:r>
            <w:rPr>
              <w:sz w:val="28"/>
              <w:szCs w:val="24"/>
            </w:rPr>
            <w:fldChar w:fldCharType="begin"/>
          </w:r>
          <w:r>
            <w:rPr>
              <w:sz w:val="28"/>
              <w:szCs w:val="24"/>
            </w:rPr>
            <w:instrText xml:space="preserve"> HYPERLINK \l _Toc20824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_Toc20824 \h </w:instrText>
          </w:r>
          <w:r>
            <w:rPr>
              <w:sz w:val="28"/>
              <w:szCs w:val="24"/>
            </w:rPr>
            <w:fldChar w:fldCharType="separate"/>
          </w:r>
          <w:r>
            <w:rPr>
              <w:sz w:val="28"/>
              <w:szCs w:val="24"/>
            </w:rPr>
            <w:t>16</w:t>
          </w:r>
          <w:r>
            <w:rPr>
              <w:sz w:val="28"/>
              <w:szCs w:val="24"/>
            </w:rPr>
            <w:fldChar w:fldCharType="end"/>
          </w:r>
          <w:r>
            <w:rPr>
              <w:sz w:val="28"/>
              <w:szCs w:val="24"/>
            </w:rPr>
            <w:fldChar w:fldCharType="end"/>
          </w:r>
        </w:p>
        <w:p w14:paraId="7F71127A">
          <w:pPr>
            <w:pStyle w:val="10"/>
            <w:tabs>
              <w:tab w:val="right" w:leader="dot" w:pos="8250"/>
            </w:tabs>
            <w:rPr>
              <w:sz w:val="28"/>
              <w:szCs w:val="24"/>
            </w:rPr>
          </w:pPr>
          <w:r>
            <w:rPr>
              <w:sz w:val="28"/>
              <w:szCs w:val="24"/>
            </w:rPr>
            <w:fldChar w:fldCharType="begin"/>
          </w:r>
          <w:r>
            <w:rPr>
              <w:sz w:val="28"/>
              <w:szCs w:val="24"/>
            </w:rPr>
            <w:instrText xml:space="preserve"> HYPERLINK \l _Toc8633 </w:instrText>
          </w:r>
          <w:r>
            <w:rPr>
              <w:sz w:val="28"/>
              <w:szCs w:val="24"/>
            </w:rPr>
            <w:fldChar w:fldCharType="separate"/>
          </w:r>
          <w:r>
            <w:rPr>
              <w:rFonts w:hint="eastAsia" w:ascii="楷体_GB2312" w:hAnsi="楷体_GB2312" w:eastAsia="楷体_GB2312" w:cs="楷体_GB2312"/>
              <w:bCs/>
              <w:kern w:val="0"/>
              <w:sz w:val="28"/>
              <w:szCs w:val="44"/>
            </w:rPr>
            <w:t>（一）设置项目的绩效目标及指标</w:t>
          </w:r>
          <w:r>
            <w:rPr>
              <w:sz w:val="28"/>
              <w:szCs w:val="24"/>
            </w:rPr>
            <w:tab/>
          </w:r>
          <w:r>
            <w:rPr>
              <w:sz w:val="28"/>
              <w:szCs w:val="24"/>
            </w:rPr>
            <w:fldChar w:fldCharType="begin"/>
          </w:r>
          <w:r>
            <w:rPr>
              <w:sz w:val="28"/>
              <w:szCs w:val="24"/>
            </w:rPr>
            <w:instrText xml:space="preserve"> PAGEREF _Toc8633 \h </w:instrText>
          </w:r>
          <w:r>
            <w:rPr>
              <w:sz w:val="28"/>
              <w:szCs w:val="24"/>
            </w:rPr>
            <w:fldChar w:fldCharType="separate"/>
          </w:r>
          <w:r>
            <w:rPr>
              <w:sz w:val="28"/>
              <w:szCs w:val="24"/>
            </w:rPr>
            <w:t>16</w:t>
          </w:r>
          <w:r>
            <w:rPr>
              <w:sz w:val="28"/>
              <w:szCs w:val="24"/>
            </w:rPr>
            <w:fldChar w:fldCharType="end"/>
          </w:r>
          <w:r>
            <w:rPr>
              <w:sz w:val="28"/>
              <w:szCs w:val="24"/>
            </w:rPr>
            <w:fldChar w:fldCharType="end"/>
          </w:r>
        </w:p>
        <w:p w14:paraId="2EC9F14E">
          <w:pPr>
            <w:pStyle w:val="10"/>
            <w:tabs>
              <w:tab w:val="right" w:leader="dot" w:pos="8250"/>
            </w:tabs>
            <w:rPr>
              <w:sz w:val="28"/>
              <w:szCs w:val="24"/>
            </w:rPr>
          </w:pPr>
          <w:r>
            <w:rPr>
              <w:sz w:val="28"/>
              <w:szCs w:val="24"/>
            </w:rPr>
            <w:fldChar w:fldCharType="begin"/>
          </w:r>
          <w:r>
            <w:rPr>
              <w:sz w:val="28"/>
              <w:szCs w:val="24"/>
            </w:rPr>
            <w:instrText xml:space="preserve"> HYPERLINK \l _Toc23434 </w:instrText>
          </w:r>
          <w:r>
            <w:rPr>
              <w:sz w:val="28"/>
              <w:szCs w:val="24"/>
            </w:rPr>
            <w:fldChar w:fldCharType="separate"/>
          </w:r>
          <w:r>
            <w:rPr>
              <w:rFonts w:hint="eastAsia" w:ascii="楷体_GB2312" w:hAnsi="楷体_GB2312" w:eastAsia="楷体_GB2312" w:cs="楷体_GB2312"/>
              <w:bCs/>
              <w:kern w:val="0"/>
              <w:sz w:val="28"/>
              <w:szCs w:val="44"/>
            </w:rPr>
            <w:t>（二）制定相应的财务和业务管理制度，加强绩效管理</w:t>
          </w:r>
          <w:r>
            <w:rPr>
              <w:sz w:val="28"/>
              <w:szCs w:val="24"/>
            </w:rPr>
            <w:tab/>
          </w:r>
          <w:r>
            <w:rPr>
              <w:sz w:val="28"/>
              <w:szCs w:val="24"/>
            </w:rPr>
            <w:fldChar w:fldCharType="begin"/>
          </w:r>
          <w:r>
            <w:rPr>
              <w:sz w:val="28"/>
              <w:szCs w:val="24"/>
            </w:rPr>
            <w:instrText xml:space="preserve"> PAGEREF _Toc23434 \h </w:instrText>
          </w:r>
          <w:r>
            <w:rPr>
              <w:sz w:val="28"/>
              <w:szCs w:val="24"/>
            </w:rPr>
            <w:fldChar w:fldCharType="separate"/>
          </w:r>
          <w:r>
            <w:rPr>
              <w:sz w:val="28"/>
              <w:szCs w:val="24"/>
            </w:rPr>
            <w:t>16</w:t>
          </w:r>
          <w:r>
            <w:rPr>
              <w:sz w:val="28"/>
              <w:szCs w:val="24"/>
            </w:rPr>
            <w:fldChar w:fldCharType="end"/>
          </w:r>
          <w:r>
            <w:rPr>
              <w:sz w:val="28"/>
              <w:szCs w:val="24"/>
            </w:rPr>
            <w:fldChar w:fldCharType="end"/>
          </w:r>
        </w:p>
        <w:p w14:paraId="11D15710">
          <w:pPr>
            <w:pStyle w:val="10"/>
            <w:tabs>
              <w:tab w:val="right" w:leader="dot" w:pos="8250"/>
            </w:tabs>
            <w:rPr>
              <w:sz w:val="28"/>
              <w:szCs w:val="24"/>
            </w:rPr>
          </w:pPr>
          <w:r>
            <w:rPr>
              <w:sz w:val="28"/>
              <w:szCs w:val="24"/>
            </w:rPr>
            <w:fldChar w:fldCharType="begin"/>
          </w:r>
          <w:r>
            <w:rPr>
              <w:sz w:val="28"/>
              <w:szCs w:val="24"/>
            </w:rPr>
            <w:instrText xml:space="preserve"> HYPERLINK \l _Toc19367 </w:instrText>
          </w:r>
          <w:r>
            <w:rPr>
              <w:sz w:val="28"/>
              <w:szCs w:val="24"/>
            </w:rPr>
            <w:fldChar w:fldCharType="separate"/>
          </w:r>
          <w:r>
            <w:rPr>
              <w:rFonts w:hint="eastAsia" w:ascii="楷体_GB2312" w:hAnsi="楷体_GB2312" w:eastAsia="楷体_GB2312" w:cs="楷体_GB2312"/>
              <w:bCs/>
              <w:kern w:val="0"/>
              <w:sz w:val="28"/>
              <w:szCs w:val="44"/>
            </w:rPr>
            <w:t>（三）及时编制自评报告</w:t>
          </w:r>
          <w:r>
            <w:rPr>
              <w:sz w:val="28"/>
              <w:szCs w:val="24"/>
            </w:rPr>
            <w:tab/>
          </w:r>
          <w:r>
            <w:rPr>
              <w:sz w:val="28"/>
              <w:szCs w:val="24"/>
            </w:rPr>
            <w:fldChar w:fldCharType="begin"/>
          </w:r>
          <w:r>
            <w:rPr>
              <w:sz w:val="28"/>
              <w:szCs w:val="24"/>
            </w:rPr>
            <w:instrText xml:space="preserve"> PAGEREF _Toc19367 \h </w:instrText>
          </w:r>
          <w:r>
            <w:rPr>
              <w:sz w:val="28"/>
              <w:szCs w:val="24"/>
            </w:rPr>
            <w:fldChar w:fldCharType="separate"/>
          </w:r>
          <w:r>
            <w:rPr>
              <w:sz w:val="28"/>
              <w:szCs w:val="24"/>
            </w:rPr>
            <w:t>16</w:t>
          </w:r>
          <w:r>
            <w:rPr>
              <w:sz w:val="28"/>
              <w:szCs w:val="24"/>
            </w:rPr>
            <w:fldChar w:fldCharType="end"/>
          </w:r>
          <w:r>
            <w:rPr>
              <w:sz w:val="28"/>
              <w:szCs w:val="24"/>
            </w:rPr>
            <w:fldChar w:fldCharType="end"/>
          </w:r>
        </w:p>
        <w:p w14:paraId="68606C98">
          <w:pPr>
            <w:pStyle w:val="10"/>
            <w:tabs>
              <w:tab w:val="right" w:leader="dot" w:pos="8250"/>
            </w:tabs>
            <w:rPr>
              <w:sz w:val="28"/>
              <w:szCs w:val="24"/>
            </w:rPr>
          </w:pPr>
          <w:r>
            <w:rPr>
              <w:sz w:val="28"/>
              <w:szCs w:val="24"/>
            </w:rPr>
            <w:fldChar w:fldCharType="begin"/>
          </w:r>
          <w:r>
            <w:rPr>
              <w:sz w:val="28"/>
              <w:szCs w:val="24"/>
            </w:rPr>
            <w:instrText xml:space="preserve"> HYPERLINK \l _Toc1868 </w:instrText>
          </w:r>
          <w:r>
            <w:rPr>
              <w:sz w:val="28"/>
              <w:szCs w:val="24"/>
            </w:rPr>
            <w:fldChar w:fldCharType="separate"/>
          </w:r>
          <w:r>
            <w:rPr>
              <w:rFonts w:hint="eastAsia" w:ascii="楷体_GB2312" w:hAnsi="楷体_GB2312" w:eastAsia="楷体_GB2312" w:cs="楷体_GB2312"/>
              <w:bCs/>
              <w:kern w:val="0"/>
              <w:sz w:val="28"/>
              <w:szCs w:val="44"/>
            </w:rPr>
            <w:t>（四）合理规划工作任务，努力控制项目成本</w:t>
          </w:r>
          <w:r>
            <w:rPr>
              <w:sz w:val="28"/>
              <w:szCs w:val="24"/>
            </w:rPr>
            <w:tab/>
          </w:r>
          <w:r>
            <w:rPr>
              <w:sz w:val="28"/>
              <w:szCs w:val="24"/>
            </w:rPr>
            <w:fldChar w:fldCharType="begin"/>
          </w:r>
          <w:r>
            <w:rPr>
              <w:sz w:val="28"/>
              <w:szCs w:val="24"/>
            </w:rPr>
            <w:instrText xml:space="preserve"> PAGEREF _Toc1868 \h </w:instrText>
          </w:r>
          <w:r>
            <w:rPr>
              <w:sz w:val="28"/>
              <w:szCs w:val="24"/>
            </w:rPr>
            <w:fldChar w:fldCharType="separate"/>
          </w:r>
          <w:r>
            <w:rPr>
              <w:sz w:val="28"/>
              <w:szCs w:val="24"/>
            </w:rPr>
            <w:t>16</w:t>
          </w:r>
          <w:r>
            <w:rPr>
              <w:sz w:val="28"/>
              <w:szCs w:val="24"/>
            </w:rPr>
            <w:fldChar w:fldCharType="end"/>
          </w:r>
          <w:r>
            <w:rPr>
              <w:sz w:val="28"/>
              <w:szCs w:val="24"/>
            </w:rPr>
            <w:fldChar w:fldCharType="end"/>
          </w:r>
        </w:p>
        <w:p w14:paraId="433913F8">
          <w:pPr>
            <w:pStyle w:val="9"/>
            <w:tabs>
              <w:tab w:val="right" w:leader="dot" w:pos="8250"/>
            </w:tabs>
            <w:rPr>
              <w:sz w:val="28"/>
              <w:szCs w:val="24"/>
            </w:rPr>
          </w:pPr>
          <w:r>
            <w:rPr>
              <w:sz w:val="28"/>
              <w:szCs w:val="24"/>
            </w:rPr>
            <w:fldChar w:fldCharType="begin"/>
          </w:r>
          <w:r>
            <w:rPr>
              <w:sz w:val="28"/>
              <w:szCs w:val="24"/>
            </w:rPr>
            <w:instrText xml:space="preserve"> HYPERLINK \l _Toc16986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w:t>
          </w:r>
          <w:r>
            <w:rPr>
              <w:rFonts w:hint="eastAsia" w:ascii="仿宋" w:hAnsi="仿宋" w:eastAsia="仿宋" w:cs="仿宋"/>
              <w:kern w:val="0"/>
              <w:sz w:val="28"/>
              <w:szCs w:val="44"/>
              <w:lang w:eastAsia="zh-CN"/>
            </w:rPr>
            <w:t>：</w:t>
          </w:r>
          <w:r>
            <w:rPr>
              <w:rFonts w:hint="eastAsia" w:ascii="仿宋" w:hAnsi="仿宋" w:eastAsia="仿宋" w:cs="仿宋"/>
              <w:kern w:val="0"/>
              <w:sz w:val="28"/>
              <w:szCs w:val="44"/>
            </w:rPr>
            <w:t>项目绩效评价指标体系打分表</w:t>
          </w:r>
          <w:r>
            <w:rPr>
              <w:sz w:val="28"/>
              <w:szCs w:val="24"/>
            </w:rPr>
            <w:tab/>
          </w:r>
          <w:r>
            <w:rPr>
              <w:sz w:val="28"/>
              <w:szCs w:val="24"/>
            </w:rPr>
            <w:fldChar w:fldCharType="begin"/>
          </w:r>
          <w:r>
            <w:rPr>
              <w:sz w:val="28"/>
              <w:szCs w:val="24"/>
            </w:rPr>
            <w:instrText xml:space="preserve"> PAGEREF _Toc16986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7EA66A6">
          <w:pPr>
            <w:jc w:val="center"/>
          </w:pPr>
          <w:r>
            <w:rPr>
              <w:b/>
            </w:rPr>
            <w:fldChar w:fldCharType="end"/>
          </w:r>
          <w:bookmarkStart w:id="3" w:name="_Toc7428"/>
        </w:p>
      </w:sdtContent>
    </w:sdt>
    <w:p w14:paraId="12EC2CE0">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4D0BECD9">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16648"/>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16AB18E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更好的指导未来15年扶风县城市发展建设，提升城市品质，支持“三县五区”建设，优化用地功能布局，提高城市空间治理水平和控规实施可行性，扶风县政府决定执行《陕西省控制性详细规划管理办法》（2016年陕西省人民政府令第192号），启动新一轮扶风县国土空间规划编制工作，扶风县人民政府于2023年4月6日召开政府常务会议决定由县自然资源局负责实施扶风县国土空间规划编制工作，项目主管和实施单位为扶风县自然资源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项目预算资金324万元，项目到位资金324万元，项目支出338.13万元，项目结余资金-14.13万元。</w:t>
      </w:r>
    </w:p>
    <w:p w14:paraId="21E6DFF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按照确定的评分细则，对各项指标逐一评价打分，县城北片区控制性详细规划编制工作经费绩效评价得分为85.08分，评价结果等级为“良”。</w:t>
      </w:r>
    </w:p>
    <w:p w14:paraId="2C950E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存在的问题：①</w:t>
      </w: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hint="eastAsia" w:ascii="仿宋" w:hAnsi="仿宋" w:eastAsia="仿宋" w:cs="仿宋"/>
          <w:kern w:val="0"/>
          <w:sz w:val="32"/>
          <w:szCs w:val="32"/>
        </w:rPr>
        <w:t>；②项目单位没有制定相应的财务和业务管理制度；③项目实施单位未编制自评报告；④项目成本超支。</w:t>
      </w:r>
    </w:p>
    <w:p w14:paraId="767946C5">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289976B0">
      <w:pPr>
        <w:spacing w:line="600" w:lineRule="exact"/>
        <w:ind w:firstLine="723"/>
        <w:jc w:val="center"/>
        <w:outlineLvl w:val="9"/>
        <w:rPr>
          <w:rFonts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县城北片区控制性详细规划编制工作经费</w:t>
      </w:r>
    </w:p>
    <w:p w14:paraId="4F9A80C1">
      <w:pPr>
        <w:spacing w:line="600" w:lineRule="exact"/>
        <w:ind w:firstLine="723"/>
        <w:jc w:val="center"/>
        <w:outlineLvl w:val="9"/>
        <w:rPr>
          <w:b/>
          <w:bCs/>
        </w:rPr>
      </w:pPr>
      <w:bookmarkStart w:id="5" w:name="_Toc3198"/>
      <w:bookmarkStart w:id="6" w:name="_Toc3207"/>
      <w:r>
        <w:rPr>
          <w:rFonts w:hint="eastAsia" w:ascii="方正小标宋_GBK" w:hAnsi="方正小标宋_GBK" w:eastAsia="方正小标宋_GBK" w:cs="方正小标宋_GBK"/>
          <w:b/>
          <w:bCs/>
          <w:kern w:val="2"/>
          <w:sz w:val="36"/>
          <w:szCs w:val="36"/>
        </w:rPr>
        <w:t>绩效评价报告</w:t>
      </w:r>
      <w:bookmarkEnd w:id="5"/>
      <w:bookmarkEnd w:id="6"/>
    </w:p>
    <w:p w14:paraId="68F74F4B">
      <w:pPr>
        <w:spacing w:line="600" w:lineRule="exact"/>
        <w:ind w:firstLine="640" w:firstLineChars="200"/>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，对县城北片区控制性详细规划编制工作经费进行绩效评价。现将评价情况报告如下：</w:t>
      </w:r>
    </w:p>
    <w:p w14:paraId="34BF0D26">
      <w:pPr>
        <w:spacing w:before="104" w:line="600" w:lineRule="exact"/>
        <w:ind w:firstLine="672"/>
        <w:outlineLvl w:val="0"/>
        <w:rPr>
          <w:rFonts w:ascii="黑体" w:hAnsi="黑体" w:eastAsia="黑体" w:cs="黑体"/>
          <w:spacing w:val="-2"/>
          <w:sz w:val="32"/>
          <w:szCs w:val="32"/>
        </w:rPr>
      </w:pPr>
      <w:bookmarkStart w:id="10" w:name="_Toc32591"/>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3ECAA903">
      <w:pPr>
        <w:spacing w:line="600" w:lineRule="exact"/>
        <w:ind w:firstLine="643" w:firstLineChars="200"/>
        <w:outlineLvl w:val="1"/>
        <w:rPr>
          <w:rFonts w:ascii="楷体" w:hAnsi="楷体" w:eastAsia="楷体" w:cs="楷体"/>
          <w:b/>
          <w:bCs/>
          <w:kern w:val="0"/>
          <w:sz w:val="32"/>
          <w:szCs w:val="32"/>
        </w:rPr>
      </w:pPr>
      <w:bookmarkStart w:id="11" w:name="_Toc3001"/>
      <w:bookmarkStart w:id="12" w:name="_Toc31750"/>
      <w:bookmarkStart w:id="13" w:name="_Toc24850"/>
      <w:bookmarkStart w:id="14" w:name="_Toc2225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5DB86B8A">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4AD48708">
      <w:pPr>
        <w:spacing w:line="600" w:lineRule="exact"/>
        <w:ind w:firstLine="640" w:firstLineChars="200"/>
        <w:rPr>
          <w:rFonts w:hint="eastAsia" w:eastAsia="仿宋"/>
          <w:lang w:val="en-US" w:eastAsia="zh-CN"/>
        </w:rPr>
      </w:pPr>
      <w:r>
        <w:rPr>
          <w:rFonts w:ascii="仿宋" w:hAnsi="仿宋" w:eastAsia="仿宋" w:cs="仿宋"/>
          <w:kern w:val="0"/>
          <w:sz w:val="32"/>
          <w:szCs w:val="32"/>
        </w:rPr>
        <w:t>为更好的指导未来15年扶风县城市发展建设，提升城市品质，支持“三县五区”建设，优化用地功能布局，提高城市空间治理水平和控规实施可行性，扶风县政府决定执行《陕西省控制性详细规划管理办法》（2016年陕西省人民政府令第192号），启动新一轮扶风县国土空间规划编制工作，扶风县人民政府于2023年4月6日召开政府常务会议决定由县自然资源局负责实施扶风县国土空间规划编制工作，项目主管和实施单位为扶风县自然资源局</w:t>
      </w:r>
      <w:r>
        <w:rPr>
          <w:rFonts w:hint="eastAsia" w:ascii="仿宋" w:hAnsi="仿宋" w:eastAsia="仿宋" w:cs="仿宋"/>
          <w:kern w:val="0"/>
          <w:sz w:val="32"/>
          <w:szCs w:val="32"/>
          <w:lang w:eastAsia="zh-CN"/>
        </w:rPr>
        <w:t>。</w:t>
      </w:r>
    </w:p>
    <w:p w14:paraId="0DBDB599">
      <w:pPr>
        <w:spacing w:line="600" w:lineRule="exact"/>
        <w:ind w:firstLine="643"/>
        <w:outlineLvl w:val="9"/>
        <w:rPr>
          <w:rFonts w:hint="eastAsia" w:ascii="仿宋" w:hAnsi="仿宋" w:cs="仿宋"/>
          <w:b/>
          <w:bCs/>
          <w:sz w:val="32"/>
          <w:szCs w:val="32"/>
        </w:rPr>
      </w:pPr>
      <w:bookmarkStart w:id="15" w:name="_Toc19838"/>
      <w:bookmarkStart w:id="16" w:name="_Toc2902"/>
      <w:bookmarkStart w:id="17" w:name="_Toc30940"/>
      <w:bookmarkStart w:id="18" w:name="_Toc6691"/>
      <w:bookmarkStart w:id="19" w:name="_Toc24420"/>
      <w:bookmarkStart w:id="20" w:name="_Toc5307_WPSOffice_Level2"/>
      <w:r>
        <w:rPr>
          <w:rFonts w:hint="eastAsia" w:ascii="仿宋" w:hAnsi="仿宋" w:cs="仿宋"/>
          <w:b/>
          <w:bCs/>
          <w:sz w:val="32"/>
          <w:szCs w:val="32"/>
        </w:rPr>
        <w:t>2.项目主要内容</w:t>
      </w:r>
    </w:p>
    <w:p w14:paraId="469AB1C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项目计划向扶风县城北片区约10平方公里，北至法门文化景区南环路、西至滨河大道、南至周公路与比亚迪园区北侧、东至比亚迪园区东侧</w:t>
      </w:r>
      <w:r>
        <w:rPr>
          <w:rFonts w:hint="eastAsia" w:ascii="仿宋" w:hAnsi="仿宋" w:eastAsia="仿宋" w:cs="仿宋"/>
          <w:kern w:val="0"/>
          <w:sz w:val="32"/>
          <w:szCs w:val="32"/>
          <w:lang w:val="en-US" w:eastAsia="zh-CN"/>
        </w:rPr>
        <w:t>实施规划设计编制工作</w:t>
      </w:r>
      <w:r>
        <w:rPr>
          <w:rFonts w:hint="eastAsia" w:ascii="仿宋" w:hAnsi="仿宋" w:eastAsia="仿宋" w:cs="仿宋"/>
          <w:kern w:val="0"/>
          <w:sz w:val="32"/>
          <w:szCs w:val="32"/>
        </w:rPr>
        <w:t>。包括片区控制性详细规划、建筑风貌意向与导控、控规图则等内容。</w:t>
      </w:r>
    </w:p>
    <w:p w14:paraId="4B5E4F2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52389FE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2023年6月扶风县自然资源局向扶风县财政局进行采购备案，按照公开招标方式于2023年8月16日确定西安建大城市规划设计研究院有限公司为项目供应商；项目已完工。</w:t>
      </w:r>
    </w:p>
    <w:p w14:paraId="524868C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4C7B615A">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2023年5月27日扶风县财政局以《扶风县财政局关于下达财政预算支出指标的通知》（扶财办预〔2023〕051号）向扶风县自然资源局下达预算资金324万元。</w:t>
      </w:r>
    </w:p>
    <w:p w14:paraId="4FD8CD5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0777791C">
      <w:pPr>
        <w:spacing w:line="600" w:lineRule="exact"/>
        <w:ind w:firstLine="640" w:firstLineChars="200"/>
      </w:pPr>
      <w:r>
        <w:rPr>
          <w:rFonts w:hint="eastAsia" w:ascii="仿宋" w:hAnsi="仿宋" w:eastAsia="仿宋" w:cs="仿宋"/>
          <w:kern w:val="0"/>
          <w:sz w:val="32"/>
          <w:szCs w:val="32"/>
        </w:rPr>
        <w:t>扶风县自然资源局向宝鸡市建筑设计院支付设计费2.22万元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向陕西自然资源勘测规划设计院有限公司支付技术服务费7.46万元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向西安坐标原点地理空间研究院有限公司支付技术服务费4.85万元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向西安建大城市规划设计研究院有限公司支付规划设计费323.60万元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以上共支出资金338.13万元。</w:t>
      </w:r>
    </w:p>
    <w:p w14:paraId="56125C02">
      <w:pPr>
        <w:spacing w:line="600" w:lineRule="exact"/>
        <w:ind w:firstLine="643" w:firstLineChars="200"/>
        <w:outlineLvl w:val="1"/>
        <w:rPr>
          <w:rFonts w:ascii="楷体" w:hAnsi="楷体" w:eastAsia="楷体" w:cs="楷体"/>
          <w:b/>
          <w:bCs/>
          <w:kern w:val="0"/>
          <w:sz w:val="32"/>
          <w:szCs w:val="32"/>
        </w:rPr>
      </w:pPr>
      <w:bookmarkStart w:id="21" w:name="_Toc16619"/>
      <w:r>
        <w:rPr>
          <w:rFonts w:hint="eastAsia" w:ascii="楷体" w:hAnsi="楷体" w:eastAsia="楷体" w:cs="楷体"/>
          <w:b/>
          <w:bCs/>
          <w:kern w:val="0"/>
          <w:sz w:val="32"/>
          <w:szCs w:val="32"/>
        </w:rPr>
        <w:t>（二）项目绩效目标</w:t>
      </w:r>
      <w:bookmarkEnd w:id="15"/>
      <w:bookmarkEnd w:id="16"/>
      <w:bookmarkEnd w:id="17"/>
      <w:bookmarkEnd w:id="21"/>
    </w:p>
    <w:bookmarkEnd w:id="18"/>
    <w:bookmarkEnd w:id="19"/>
    <w:bookmarkEnd w:id="20"/>
    <w:p w14:paraId="7A5CD04C">
      <w:pPr>
        <w:spacing w:line="600" w:lineRule="exact"/>
        <w:ind w:firstLine="640" w:firstLineChars="200"/>
        <w:rPr>
          <w:rFonts w:ascii="仿宋" w:hAnsi="仿宋" w:eastAsia="仿宋" w:cs="仿宋"/>
          <w:kern w:val="0"/>
          <w:sz w:val="32"/>
          <w:szCs w:val="32"/>
          <w:highlight w:val="none"/>
        </w:rPr>
      </w:pPr>
      <w:bookmarkStart w:id="22" w:name="_Toc22895"/>
      <w:bookmarkStart w:id="23" w:name="_Toc25596"/>
      <w:bookmarkStart w:id="24" w:name="_Hlk2370114"/>
      <w:bookmarkStart w:id="25" w:name="_Toc8245_WPSOffice_Level1"/>
      <w:bookmarkStart w:id="26" w:name="_Toc29537"/>
      <w:bookmarkStart w:id="27" w:name="_Toc16072"/>
      <w:bookmarkStart w:id="28" w:name="_Toc29155_WPSOffice_Level1"/>
      <w:bookmarkStart w:id="29" w:name="_Toc3241_WPSOffice_Level1"/>
      <w:bookmarkStart w:id="30" w:name="_Toc21915"/>
      <w:bookmarkStart w:id="31" w:name="_Toc28175_WPSOffice_Level1"/>
      <w:bookmarkStart w:id="32" w:name="_Toc18785"/>
      <w:bookmarkStart w:id="33" w:name="_Toc28206"/>
      <w:bookmarkStart w:id="34" w:name="_Toc6828_WPSOffice_Level1"/>
      <w:bookmarkStart w:id="35" w:name="_Toc6281_WPSOffice_Level1"/>
      <w:bookmarkStart w:id="36" w:name="_Toc751_WPSOffice_Level1"/>
      <w:bookmarkStart w:id="37" w:name="_Toc11420_WPSOffice_Level1"/>
      <w:bookmarkStart w:id="38" w:name="_Toc29074"/>
      <w:r>
        <w:rPr>
          <w:rFonts w:hint="eastAsia" w:ascii="仿宋" w:hAnsi="仿宋" w:eastAsia="仿宋" w:cs="仿宋"/>
          <w:kern w:val="0"/>
          <w:sz w:val="32"/>
          <w:szCs w:val="32"/>
          <w:highlight w:val="none"/>
        </w:rPr>
        <w:t>项目</w:t>
      </w:r>
      <w:r>
        <w:rPr>
          <w:rFonts w:hint="eastAsia" w:ascii="仿宋" w:hAnsi="仿宋" w:eastAsia="仿宋" w:cs="仿宋"/>
          <w:kern w:val="0"/>
          <w:sz w:val="32"/>
          <w:szCs w:val="32"/>
          <w:highlight w:val="none"/>
          <w:lang w:val="en-US" w:eastAsia="zh-CN"/>
        </w:rPr>
        <w:t>单位未提供</w:t>
      </w:r>
      <w:r>
        <w:rPr>
          <w:rFonts w:hint="eastAsia" w:ascii="仿宋" w:hAnsi="仿宋" w:eastAsia="仿宋" w:cs="仿宋"/>
          <w:kern w:val="0"/>
          <w:sz w:val="32"/>
          <w:szCs w:val="32"/>
          <w:highlight w:val="none"/>
        </w:rPr>
        <w:t>绩效目标表。</w:t>
      </w:r>
    </w:p>
    <w:p w14:paraId="45E81F05">
      <w:pPr>
        <w:spacing w:before="104" w:line="600" w:lineRule="exact"/>
        <w:ind w:firstLine="672"/>
        <w:outlineLvl w:val="0"/>
        <w:rPr>
          <w:rFonts w:ascii="黑体" w:hAnsi="黑体" w:eastAsia="黑体" w:cs="黑体"/>
          <w:spacing w:val="-2"/>
          <w:sz w:val="32"/>
          <w:szCs w:val="32"/>
        </w:rPr>
      </w:pPr>
      <w:bookmarkStart w:id="39" w:name="_Toc23565"/>
      <w:r>
        <w:rPr>
          <w:rFonts w:hint="eastAsia" w:ascii="黑体" w:hAnsi="黑体" w:eastAsia="黑体" w:cs="黑体"/>
          <w:spacing w:val="-2"/>
          <w:sz w:val="32"/>
          <w:szCs w:val="32"/>
        </w:rPr>
        <w:t>二、绩效评价工作开展情况</w:t>
      </w:r>
      <w:bookmarkEnd w:id="22"/>
      <w:bookmarkEnd w:id="23"/>
      <w:bookmarkEnd w:id="39"/>
      <w:bookmarkStart w:id="40" w:name="_Toc1319"/>
      <w:bookmarkStart w:id="41" w:name="_Toc4270"/>
      <w:bookmarkStart w:id="42" w:name="_Toc30013"/>
      <w:bookmarkStart w:id="43" w:name="_Toc1360"/>
    </w:p>
    <w:p w14:paraId="1FB7B495">
      <w:pPr>
        <w:spacing w:before="104" w:line="600" w:lineRule="exact"/>
        <w:ind w:firstLine="672"/>
        <w:outlineLvl w:val="1"/>
      </w:pPr>
      <w:bookmarkStart w:id="44" w:name="_Toc15457"/>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339D9F3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县城北片区控制性详细规划编制工作经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6558F78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6DB512C1">
      <w:pPr>
        <w:spacing w:line="600" w:lineRule="exact"/>
        <w:ind w:firstLine="643" w:firstLineChars="200"/>
        <w:outlineLvl w:val="1"/>
        <w:rPr>
          <w:rFonts w:ascii="楷体" w:hAnsi="楷体" w:eastAsia="楷体" w:cs="楷体"/>
          <w:b/>
          <w:bCs/>
          <w:kern w:val="0"/>
          <w:sz w:val="32"/>
          <w:szCs w:val="32"/>
        </w:rPr>
      </w:pPr>
      <w:bookmarkStart w:id="45" w:name="_Toc14910"/>
      <w:bookmarkStart w:id="46" w:name="_Toc18097"/>
      <w:bookmarkStart w:id="47" w:name="_Toc17204"/>
      <w:bookmarkStart w:id="48" w:name="_Toc2196"/>
      <w:bookmarkStart w:id="49" w:name="_Toc30888"/>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1F84BE90">
      <w:pPr>
        <w:spacing w:line="600" w:lineRule="exact"/>
        <w:ind w:firstLine="643"/>
        <w:outlineLvl w:val="9"/>
        <w:rPr>
          <w:rFonts w:ascii="仿宋" w:hAnsi="仿宋" w:cs="仿宋"/>
          <w:b/>
          <w:bCs/>
          <w:sz w:val="32"/>
          <w:szCs w:val="32"/>
        </w:rPr>
      </w:pPr>
      <w:r>
        <w:rPr>
          <w:rFonts w:hint="eastAsia" w:ascii="仿宋" w:hAnsi="仿宋" w:cs="仿宋"/>
          <w:b/>
          <w:bCs/>
          <w:sz w:val="32"/>
          <w:szCs w:val="32"/>
        </w:rPr>
        <w:t>1.绩效评价原则</w:t>
      </w:r>
    </w:p>
    <w:p w14:paraId="0DFF1C8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63BE2FB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59F53F2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018BE33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3C0285A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06C4ED5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76E5295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302950A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相关</w:t>
      </w:r>
      <w:r>
        <w:rPr>
          <w:rFonts w:hint="eastAsia" w:ascii="仿宋" w:hAnsi="仿宋" w:eastAsia="仿宋" w:cs="仿宋"/>
          <w:kern w:val="0"/>
          <w:sz w:val="32"/>
          <w:szCs w:val="32"/>
        </w:rPr>
        <w:t xml:space="preserve">部门，作为有关部门以后年度安排项目预算、加强项目管理等工作的重要依据。 </w:t>
      </w:r>
    </w:p>
    <w:p w14:paraId="308983D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77C01A9A">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3653419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5EC04A2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79003A69">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1BECAFF4">
      <w:pPr>
        <w:spacing w:line="600" w:lineRule="exact"/>
        <w:ind w:firstLine="640" w:firstLineChars="200"/>
        <w:rPr>
          <w:rFonts w:ascii="仿宋" w:hAnsi="仿宋" w:eastAsia="仿宋" w:cs="仿宋"/>
          <w:kern w:val="0"/>
          <w:sz w:val="32"/>
          <w:szCs w:val="32"/>
        </w:rPr>
      </w:pPr>
      <w:bookmarkStart w:id="50" w:name="_Toc29066"/>
      <w:bookmarkStart w:id="51" w:name="_Toc1910"/>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县城北片区控制性详细规划编制工作经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2914143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3778181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10ACAD6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669BC8A3">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2E172B93">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53403588">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0E39ED2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2807F274">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66DF2E4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5E10B826">
      <w:pPr>
        <w:spacing w:line="600" w:lineRule="exact"/>
        <w:ind w:firstLine="643" w:firstLineChars="200"/>
        <w:outlineLvl w:val="1"/>
        <w:rPr>
          <w:rFonts w:ascii="楷体" w:hAnsi="楷体" w:eastAsia="楷体" w:cs="楷体"/>
          <w:b/>
          <w:bCs/>
          <w:kern w:val="0"/>
          <w:sz w:val="32"/>
          <w:szCs w:val="32"/>
        </w:rPr>
      </w:pPr>
      <w:bookmarkStart w:id="53" w:name="_Toc5307"/>
      <w:bookmarkStart w:id="54" w:name="_Toc23298"/>
      <w:bookmarkStart w:id="55" w:name="_Toc17254"/>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5D54482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5731E9F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1D3AF45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01D26AF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6985202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7747EEF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066495A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62231634">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6D6EF43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530214B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0DA504E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40EA943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形成初步结论。</w:t>
      </w:r>
    </w:p>
    <w:p w14:paraId="08D0A25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意见。</w:t>
      </w:r>
    </w:p>
    <w:p w14:paraId="281D9E0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5AC581BA">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54AC9FA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75DBE94A">
      <w:pPr>
        <w:spacing w:before="104" w:line="600" w:lineRule="exact"/>
        <w:ind w:firstLine="672"/>
        <w:outlineLvl w:val="0"/>
        <w:rPr>
          <w:rFonts w:ascii="黑体" w:hAnsi="黑体" w:eastAsia="黑体" w:cs="黑体"/>
          <w:spacing w:val="-2"/>
          <w:sz w:val="32"/>
          <w:szCs w:val="32"/>
        </w:rPr>
      </w:pPr>
      <w:bookmarkStart w:id="58" w:name="_Toc21432"/>
      <w:r>
        <w:rPr>
          <w:rFonts w:hint="eastAsia" w:ascii="黑体" w:hAnsi="黑体" w:eastAsia="黑体" w:cs="黑体"/>
          <w:spacing w:val="-2"/>
          <w:sz w:val="32"/>
          <w:szCs w:val="32"/>
        </w:rPr>
        <w:t>三、综合评价情况及评价结论</w:t>
      </w:r>
      <w:bookmarkEnd w:id="56"/>
      <w:bookmarkEnd w:id="58"/>
    </w:p>
    <w:p w14:paraId="6F5A6507">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按照确定的评分细则，通过对各项指标逐一评价打分，县城北片区控制性详细规划编制工作经费绩效评价得分为85.08分，评价结果等级为“良”，评分情况详见下表。</w:t>
      </w:r>
    </w:p>
    <w:p w14:paraId="3D2AD45B">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4AE61DE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0783342D">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6E7B0F1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5FB3018E">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01D50522">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287107D0">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662F2131">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30FBFFB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71F89C91">
            <w:pPr>
              <w:jc w:val="center"/>
            </w:pPr>
            <w:r>
              <w:rPr>
                <w:rFonts w:ascii="仿宋" w:hAnsi="仿宋" w:eastAsia="仿宋" w:cs="仿宋"/>
                <w:b w:val="0"/>
                <w:sz w:val="32"/>
              </w:rPr>
              <w:t>决策指标</w:t>
            </w:r>
          </w:p>
        </w:tc>
        <w:tc>
          <w:p w14:paraId="40C50358">
            <w:pPr>
              <w:jc w:val="center"/>
            </w:pPr>
            <w:r>
              <w:rPr>
                <w:rFonts w:ascii="仿宋" w:hAnsi="仿宋" w:eastAsia="仿宋" w:cs="仿宋"/>
                <w:b w:val="0"/>
                <w:sz w:val="32"/>
              </w:rPr>
              <w:t>18.0</w:t>
            </w:r>
          </w:p>
        </w:tc>
        <w:tc>
          <w:p w14:paraId="47AEB982">
            <w:pPr>
              <w:jc w:val="center"/>
            </w:pPr>
            <w:r>
              <w:rPr>
                <w:rFonts w:ascii="仿宋" w:hAnsi="仿宋" w:eastAsia="仿宋" w:cs="仿宋"/>
                <w:b w:val="0"/>
                <w:sz w:val="32"/>
              </w:rPr>
              <w:t>11.0</w:t>
            </w:r>
          </w:p>
        </w:tc>
        <w:tc>
          <w:p w14:paraId="44192410">
            <w:pPr>
              <w:jc w:val="center"/>
            </w:pPr>
            <w:r>
              <w:rPr>
                <w:rFonts w:ascii="仿宋" w:hAnsi="仿宋" w:eastAsia="仿宋" w:cs="仿宋"/>
                <w:b w:val="0"/>
                <w:sz w:val="32"/>
              </w:rPr>
              <w:t>61.11%</w:t>
            </w:r>
          </w:p>
        </w:tc>
      </w:tr>
      <w:tr w14:paraId="595892A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70F6D4F">
            <w:pPr>
              <w:jc w:val="center"/>
            </w:pPr>
            <w:r>
              <w:rPr>
                <w:rFonts w:ascii="仿宋" w:hAnsi="仿宋" w:eastAsia="仿宋" w:cs="仿宋"/>
                <w:b w:val="0"/>
                <w:sz w:val="32"/>
              </w:rPr>
              <w:t>过程指标</w:t>
            </w:r>
          </w:p>
        </w:tc>
        <w:tc>
          <w:p w14:paraId="50137F1E">
            <w:pPr>
              <w:jc w:val="center"/>
            </w:pPr>
            <w:r>
              <w:rPr>
                <w:rFonts w:ascii="仿宋" w:hAnsi="仿宋" w:eastAsia="仿宋" w:cs="仿宋"/>
                <w:b w:val="0"/>
                <w:sz w:val="32"/>
              </w:rPr>
              <w:t>22.0</w:t>
            </w:r>
          </w:p>
        </w:tc>
        <w:tc>
          <w:p w14:paraId="79BB0124">
            <w:pPr>
              <w:jc w:val="center"/>
            </w:pPr>
            <w:r>
              <w:rPr>
                <w:rFonts w:ascii="仿宋" w:hAnsi="仿宋" w:eastAsia="仿宋" w:cs="仿宋"/>
                <w:b w:val="0"/>
                <w:sz w:val="32"/>
              </w:rPr>
              <w:t>18.0</w:t>
            </w:r>
          </w:p>
        </w:tc>
        <w:tc>
          <w:p w14:paraId="5C5CB8FA">
            <w:pPr>
              <w:jc w:val="center"/>
            </w:pPr>
            <w:r>
              <w:rPr>
                <w:rFonts w:ascii="仿宋" w:hAnsi="仿宋" w:eastAsia="仿宋" w:cs="仿宋"/>
                <w:b w:val="0"/>
                <w:sz w:val="32"/>
              </w:rPr>
              <w:t>81.82%</w:t>
            </w:r>
          </w:p>
        </w:tc>
      </w:tr>
      <w:tr w14:paraId="7934371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2400CED">
            <w:pPr>
              <w:jc w:val="center"/>
            </w:pPr>
            <w:r>
              <w:rPr>
                <w:rFonts w:ascii="仿宋" w:hAnsi="仿宋" w:eastAsia="仿宋" w:cs="仿宋"/>
                <w:b w:val="0"/>
                <w:sz w:val="32"/>
              </w:rPr>
              <w:t>产出指标</w:t>
            </w:r>
          </w:p>
        </w:tc>
        <w:tc>
          <w:p w14:paraId="5A2FCD35">
            <w:pPr>
              <w:jc w:val="center"/>
            </w:pPr>
            <w:r>
              <w:rPr>
                <w:rFonts w:ascii="仿宋" w:hAnsi="仿宋" w:eastAsia="仿宋" w:cs="仿宋"/>
                <w:b w:val="0"/>
                <w:sz w:val="32"/>
              </w:rPr>
              <w:t>36.0</w:t>
            </w:r>
          </w:p>
        </w:tc>
        <w:tc>
          <w:p w14:paraId="04E8A7C0">
            <w:pPr>
              <w:jc w:val="center"/>
            </w:pPr>
            <w:r>
              <w:rPr>
                <w:rFonts w:ascii="仿宋" w:hAnsi="仿宋" w:eastAsia="仿宋" w:cs="仿宋"/>
                <w:b w:val="0"/>
                <w:sz w:val="32"/>
              </w:rPr>
              <w:t>32.08</w:t>
            </w:r>
          </w:p>
        </w:tc>
        <w:tc>
          <w:p w14:paraId="2F85B967">
            <w:pPr>
              <w:jc w:val="center"/>
            </w:pPr>
            <w:r>
              <w:rPr>
                <w:rFonts w:ascii="仿宋" w:hAnsi="仿宋" w:eastAsia="仿宋" w:cs="仿宋"/>
                <w:b w:val="0"/>
                <w:sz w:val="32"/>
              </w:rPr>
              <w:t>89.11%</w:t>
            </w:r>
          </w:p>
        </w:tc>
      </w:tr>
      <w:tr w14:paraId="05440BC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519E41EF">
            <w:pPr>
              <w:jc w:val="center"/>
            </w:pPr>
            <w:r>
              <w:rPr>
                <w:rFonts w:ascii="仿宋" w:hAnsi="仿宋" w:eastAsia="仿宋" w:cs="仿宋"/>
                <w:b w:val="0"/>
                <w:sz w:val="32"/>
              </w:rPr>
              <w:t>效益指标</w:t>
            </w:r>
          </w:p>
        </w:tc>
        <w:tc>
          <w:p w14:paraId="21BF7BB8">
            <w:pPr>
              <w:jc w:val="center"/>
            </w:pPr>
            <w:r>
              <w:rPr>
                <w:rFonts w:ascii="仿宋" w:hAnsi="仿宋" w:eastAsia="仿宋" w:cs="仿宋"/>
                <w:b w:val="0"/>
                <w:sz w:val="32"/>
              </w:rPr>
              <w:t>24.0</w:t>
            </w:r>
          </w:p>
        </w:tc>
        <w:tc>
          <w:p w14:paraId="024328D8">
            <w:pPr>
              <w:jc w:val="center"/>
            </w:pPr>
            <w:r>
              <w:rPr>
                <w:rFonts w:ascii="仿宋" w:hAnsi="仿宋" w:eastAsia="仿宋" w:cs="仿宋"/>
                <w:b w:val="0"/>
                <w:sz w:val="32"/>
              </w:rPr>
              <w:t>24.0</w:t>
            </w:r>
          </w:p>
        </w:tc>
        <w:tc>
          <w:p w14:paraId="04334D26">
            <w:pPr>
              <w:jc w:val="center"/>
            </w:pPr>
            <w:r>
              <w:rPr>
                <w:rFonts w:ascii="仿宋" w:hAnsi="仿宋" w:eastAsia="仿宋" w:cs="仿宋"/>
                <w:b w:val="0"/>
                <w:sz w:val="32"/>
              </w:rPr>
              <w:t>100.00%</w:t>
            </w:r>
          </w:p>
        </w:tc>
      </w:tr>
    </w:tbl>
    <w:p w14:paraId="0AA71A3E">
      <w:pPr>
        <w:spacing w:before="104" w:line="600" w:lineRule="exact"/>
        <w:ind w:firstLine="672"/>
        <w:outlineLvl w:val="0"/>
        <w:rPr>
          <w:rFonts w:ascii="黑体" w:hAnsi="黑体" w:eastAsia="黑体" w:cs="黑体"/>
          <w:spacing w:val="-2"/>
          <w:sz w:val="32"/>
          <w:szCs w:val="32"/>
        </w:rPr>
      </w:pPr>
      <w:bookmarkStart w:id="60" w:name="_Toc2895"/>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18549_WPSOffice_Level2"/>
      <w:bookmarkStart w:id="62" w:name="_Hlk2366513"/>
      <w:bookmarkStart w:id="63" w:name="_Toc28988"/>
      <w:bookmarkStart w:id="64" w:name="_Toc4780_WPSOffice_Level2"/>
      <w:bookmarkStart w:id="65" w:name="_Toc17947"/>
      <w:bookmarkStart w:id="66" w:name="_Toc24823_WPSOffice_Level2"/>
      <w:bookmarkStart w:id="67" w:name="_Toc379"/>
      <w:bookmarkStart w:id="68" w:name="_Toc26570_WPSOffice_Level2"/>
    </w:p>
    <w:p w14:paraId="76817B4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15439"/>
      <w:r>
        <w:rPr>
          <w:rFonts w:hint="eastAsia" w:ascii="楷体_GB2312" w:hAnsi="楷体_GB2312" w:eastAsia="楷体_GB2312" w:cs="楷体_GB2312"/>
          <w:b/>
          <w:bCs/>
          <w:kern w:val="0"/>
          <w:sz w:val="32"/>
          <w:szCs w:val="32"/>
        </w:rPr>
        <w:t>（一）决策指标（满分18.0分，实得11.0分）</w:t>
      </w:r>
      <w:bookmarkEnd w:id="69"/>
    </w:p>
    <w:p w14:paraId="521226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7C5A53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246472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更好的指导未来15年扶风县城市发展建设，提升城市品质，支持“三县五区”建设，优化用地功能布局，提高城市空间治理水平和控规实施可行性，扶风县政府决定启动新一轮我县国土空间规划编制工作，扶风县人民政府于2023年4月6日召开政府常务会议决定由县自然资源局负责实施扶风县国土空间规划编制工作。项目主管和实施单位为扶风县自然资源局</w:t>
      </w:r>
      <w:r>
        <w:rPr>
          <w:rFonts w:hint="eastAsia" w:ascii="仿宋" w:hAnsi="仿宋" w:eastAsia="仿宋" w:cs="仿宋"/>
          <w:kern w:val="0"/>
          <w:sz w:val="32"/>
          <w:szCs w:val="32"/>
          <w:lang w:eastAsia="zh-CN"/>
        </w:rPr>
        <w:t>。</w:t>
      </w:r>
      <w:r>
        <w:rPr>
          <w:rFonts w:ascii="仿宋" w:hAnsi="仿宋" w:eastAsia="仿宋" w:cs="仿宋"/>
          <w:kern w:val="0"/>
          <w:sz w:val="32"/>
          <w:szCs w:val="32"/>
        </w:rPr>
        <w:t>经分析，项目立项符合国家法律法规、国民经济发展规划和相关政策</w:t>
      </w:r>
      <w:r>
        <w:rPr>
          <w:rFonts w:hint="eastAsia" w:ascii="仿宋" w:hAnsi="仿宋" w:eastAsia="仿宋" w:cs="仿宋"/>
          <w:kern w:val="0"/>
          <w:sz w:val="32"/>
          <w:szCs w:val="32"/>
          <w:lang w:eastAsia="zh-CN"/>
        </w:rPr>
        <w:t>，</w:t>
      </w:r>
      <w:r>
        <w:rPr>
          <w:rFonts w:ascii="仿宋" w:hAnsi="仿宋" w:eastAsia="仿宋" w:cs="仿宋"/>
          <w:kern w:val="0"/>
          <w:sz w:val="32"/>
          <w:szCs w:val="32"/>
        </w:rPr>
        <w:t>与部门职责范围相符</w:t>
      </w:r>
      <w:r>
        <w:rPr>
          <w:rFonts w:hint="eastAsia" w:ascii="仿宋" w:hAnsi="仿宋" w:eastAsia="仿宋" w:cs="仿宋"/>
          <w:kern w:val="0"/>
          <w:sz w:val="32"/>
          <w:szCs w:val="32"/>
          <w:lang w:eastAsia="zh-CN"/>
        </w:rPr>
        <w:t>，</w:t>
      </w:r>
      <w:r>
        <w:rPr>
          <w:rFonts w:ascii="仿宋" w:hAnsi="仿宋" w:eastAsia="仿宋" w:cs="仿宋"/>
          <w:kern w:val="0"/>
          <w:sz w:val="32"/>
          <w:szCs w:val="32"/>
        </w:rPr>
        <w:t>项目立项符合发展规划和政策要求</w:t>
      </w:r>
      <w:r>
        <w:rPr>
          <w:rFonts w:hint="eastAsia" w:ascii="仿宋" w:hAnsi="仿宋" w:eastAsia="仿宋" w:cs="仿宋"/>
          <w:kern w:val="0"/>
          <w:sz w:val="32"/>
          <w:szCs w:val="32"/>
          <w:lang w:eastAsia="zh-CN"/>
        </w:rPr>
        <w:t>，</w:t>
      </w:r>
      <w:r>
        <w:rPr>
          <w:rFonts w:ascii="仿宋" w:hAnsi="仿宋" w:eastAsia="仿宋" w:cs="仿宋"/>
          <w:kern w:val="0"/>
          <w:sz w:val="32"/>
          <w:szCs w:val="32"/>
        </w:rPr>
        <w:t>属于公共财政支持范围</w:t>
      </w:r>
      <w:r>
        <w:rPr>
          <w:rFonts w:hint="eastAsia" w:ascii="仿宋" w:hAnsi="仿宋" w:eastAsia="仿宋" w:cs="仿宋"/>
          <w:kern w:val="0"/>
          <w:sz w:val="32"/>
          <w:szCs w:val="32"/>
          <w:lang w:eastAsia="zh-CN"/>
        </w:rPr>
        <w:t>，</w:t>
      </w:r>
      <w:r>
        <w:rPr>
          <w:rFonts w:ascii="仿宋" w:hAnsi="仿宋" w:eastAsia="仿宋" w:cs="仿宋"/>
          <w:kern w:val="0"/>
          <w:sz w:val="32"/>
          <w:szCs w:val="32"/>
        </w:rPr>
        <w:t>与相关部门同类项目或部门内部相关项目不重复。</w:t>
      </w:r>
    </w:p>
    <w:p w14:paraId="079C12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0B2C97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67F648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扶风县自然资源局进行内部集体决策，报经扶风县人民政府常务会议通过。经分析，项目已经按照规定的程序申请设立，审批文件、材料符合相关要求，事前经过必要的专家论证、集体决策。</w:t>
      </w:r>
    </w:p>
    <w:p w14:paraId="5C30F4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5004EC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2、绩效目标（满分7.0分，实得0.0分）</w:t>
      </w:r>
    </w:p>
    <w:p w14:paraId="0A0B74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（1）绩效目标合理性（满分4.0分，实得0.0分）</w:t>
      </w:r>
    </w:p>
    <w:p w14:paraId="7B01EF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5E6655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7727B4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（2）绩效指标明确性（满分3.0分，实得0.0分）</w:t>
      </w:r>
    </w:p>
    <w:p w14:paraId="055E72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3FB192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根据评分标准，本指标满分3.0分，扣3.0分，评价得0.0分。</w:t>
      </w:r>
    </w:p>
    <w:p w14:paraId="3DA678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63D582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2570D5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由扶风县自然资源局编制，由扶风县财政局委托陕西大可工程咨询监理有限公司评审，于2023年5月11日出具《扶风县城北片区控制性详细规划编制项目预算评审报告》。经分析，预算编制经过科学论证；预算内容与项目内容相匹配；预算额度测算依据充分；预算确定的项目投资额与工作任务相匹配。</w:t>
      </w:r>
    </w:p>
    <w:p w14:paraId="1D33D0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5583AC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4D6785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5月27日以《扶风县财政局关于下达财政预算支出指标的通知》（扶财办预〔2023〕051号）向扶风县自然资源局下达项目预算。资金拨付以批准的预算额度为准。经分析，预算资金分配依据充分，资金分配额度合理、与项目实际相适应。</w:t>
      </w:r>
    </w:p>
    <w:p w14:paraId="1E5FBD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1836D9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16820"/>
      <w:r>
        <w:rPr>
          <w:rFonts w:hint="eastAsia" w:ascii="楷体_GB2312" w:hAnsi="楷体_GB2312" w:eastAsia="楷体_GB2312" w:cs="楷体_GB2312"/>
          <w:b/>
          <w:bCs/>
          <w:kern w:val="0"/>
          <w:sz w:val="32"/>
          <w:szCs w:val="32"/>
        </w:rPr>
        <w:t>（二）过程指标（满分22.0分，实得18.0分）</w:t>
      </w:r>
      <w:bookmarkEnd w:id="70"/>
    </w:p>
    <w:p w14:paraId="25476D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1、资金管理（满分13.0分，实得13.0分）</w:t>
      </w:r>
    </w:p>
    <w:p w14:paraId="1EB8AA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49F5E5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评价小组查阅了项目有关的预算资金下达文件和资金拨付文件：</w:t>
      </w:r>
    </w:p>
    <w:p w14:paraId="65B226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扶风县财政局于2023年5月23日以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扶财办预〔2023〕051号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文件向扶风县自然资源局下达项目预算资金324万元，已下达至扶风县自然资源局。实际到位资金324万元，资金到位率100%。</w:t>
      </w:r>
    </w:p>
    <w:p w14:paraId="76A11C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p>
    <w:p w14:paraId="12F4C3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77CFD9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330601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项目实际到位资金为324万元，实际支出资金为338.13万元，总预算执行率为104.36%。</w:t>
      </w:r>
    </w:p>
    <w:p w14:paraId="77077E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6A2E83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（3）资金使用合规性（满分4.0分，实得4.0分）</w:t>
      </w:r>
    </w:p>
    <w:p w14:paraId="731FB5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eastAsia="zh-CN"/>
        </w:rPr>
        <w:t>，</w:t>
      </w:r>
      <w:r>
        <w:rPr>
          <w:rFonts w:ascii="仿宋" w:hAnsi="仿宋" w:eastAsia="仿宋" w:cs="仿宋"/>
          <w:kern w:val="0"/>
          <w:sz w:val="32"/>
          <w:szCs w:val="32"/>
        </w:rPr>
        <w:t>由西安建大城市规划设计研究院有限公司</w:t>
      </w:r>
      <w:r>
        <w:rPr>
          <w:rFonts w:hint="eastAsia" w:ascii="仿宋" w:hAnsi="仿宋" w:eastAsia="仿宋" w:cs="仿宋"/>
          <w:kern w:val="0"/>
          <w:sz w:val="32"/>
          <w:szCs w:val="32"/>
          <w:lang w:val="en-US" w:eastAsia="zh-CN"/>
        </w:rPr>
        <w:t>等服务承担单位</w:t>
      </w:r>
      <w:r>
        <w:rPr>
          <w:rFonts w:ascii="仿宋" w:hAnsi="仿宋" w:eastAsia="仿宋" w:cs="仿宋"/>
          <w:kern w:val="0"/>
          <w:sz w:val="32"/>
          <w:szCs w:val="32"/>
        </w:rPr>
        <w:t>提出申请，经扶风县自然资源局审核及批准。项目达到合同规定的付款条件，凭合同、发票、验收资料等，按照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w:t>
      </w:r>
      <w:r>
        <w:rPr>
          <w:rFonts w:hint="eastAsia" w:ascii="仿宋" w:hAnsi="仿宋" w:eastAsia="仿宋" w:cs="仿宋"/>
          <w:kern w:val="0"/>
          <w:sz w:val="32"/>
          <w:szCs w:val="32"/>
          <w:lang w:val="en-US" w:eastAsia="zh-CN"/>
        </w:rPr>
        <w:t>服务承担单位</w:t>
      </w:r>
      <w:r>
        <w:rPr>
          <w:rFonts w:ascii="仿宋" w:hAnsi="仿宋" w:eastAsia="仿宋" w:cs="仿宋"/>
          <w:kern w:val="0"/>
          <w:sz w:val="32"/>
          <w:szCs w:val="32"/>
        </w:rPr>
        <w:t>；经分析，项目资金的支出符合国家财经法规和《财务管理制度》的规定</w:t>
      </w:r>
      <w:r>
        <w:rPr>
          <w:rFonts w:hint="eastAsia" w:ascii="仿宋" w:hAnsi="仿宋" w:eastAsia="仿宋" w:cs="仿宋"/>
          <w:kern w:val="0"/>
          <w:sz w:val="32"/>
          <w:szCs w:val="32"/>
          <w:lang w:eastAsia="zh-CN"/>
        </w:rPr>
        <w:t>，</w:t>
      </w:r>
      <w:r>
        <w:rPr>
          <w:rFonts w:ascii="仿宋" w:hAnsi="仿宋" w:eastAsia="仿宋" w:cs="仿宋"/>
          <w:kern w:val="0"/>
          <w:sz w:val="32"/>
          <w:szCs w:val="32"/>
        </w:rPr>
        <w:t>资金的拨付有完整的审批程序和手续</w:t>
      </w:r>
      <w:r>
        <w:rPr>
          <w:rFonts w:hint="eastAsia" w:ascii="仿宋" w:hAnsi="仿宋" w:eastAsia="仿宋" w:cs="仿宋"/>
          <w:kern w:val="0"/>
          <w:sz w:val="32"/>
          <w:szCs w:val="32"/>
          <w:lang w:eastAsia="zh-CN"/>
        </w:rPr>
        <w:t>，</w:t>
      </w:r>
      <w:r>
        <w:rPr>
          <w:rFonts w:ascii="仿宋" w:hAnsi="仿宋" w:eastAsia="仿宋" w:cs="仿宋"/>
          <w:kern w:val="0"/>
          <w:sz w:val="32"/>
          <w:szCs w:val="32"/>
        </w:rPr>
        <w:t>符合项目合同规定的用途</w:t>
      </w:r>
      <w:r>
        <w:rPr>
          <w:rFonts w:hint="eastAsia" w:ascii="仿宋" w:hAnsi="仿宋" w:eastAsia="仿宋" w:cs="仿宋"/>
          <w:kern w:val="0"/>
          <w:sz w:val="32"/>
          <w:szCs w:val="32"/>
          <w:lang w:eastAsia="zh-CN"/>
        </w:rPr>
        <w:t>，</w:t>
      </w:r>
      <w:r>
        <w:rPr>
          <w:rFonts w:ascii="仿宋" w:hAnsi="仿宋" w:eastAsia="仿宋" w:cs="仿宋"/>
          <w:kern w:val="0"/>
          <w:sz w:val="32"/>
          <w:szCs w:val="32"/>
        </w:rPr>
        <w:t>不存在截留、挤占、挪用、虚列支出等情况。</w:t>
      </w:r>
    </w:p>
    <w:p w14:paraId="762909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bookmarkStart w:id="84" w:name="_GoBack"/>
      <w:bookmarkEnd w:id="84"/>
    </w:p>
    <w:p w14:paraId="75A35E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2、组织实施（满分9.0分，实得5.0分）</w:t>
      </w:r>
    </w:p>
    <w:p w14:paraId="39BE4B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（1）项目采购规范性（满分3.0分，实得3.0分）</w:t>
      </w:r>
    </w:p>
    <w:p w14:paraId="36A77D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2023年6月扶风县自然资源局向扶风县财政局进行采购备案，按照公开招标方式于2023年8月16日确定西安建大城市规划设计研究院有限公司为项目供应商。经分析，项目采购执行了内部决策程序</w:t>
      </w:r>
      <w:r>
        <w:rPr>
          <w:rFonts w:hint="eastAsia" w:ascii="仿宋" w:hAnsi="仿宋" w:eastAsia="仿宋" w:cs="仿宋"/>
          <w:kern w:val="0"/>
          <w:sz w:val="32"/>
          <w:szCs w:val="32"/>
          <w:lang w:val="en-US" w:eastAsia="zh-CN"/>
        </w:rPr>
        <w:t>并</w:t>
      </w:r>
      <w:r>
        <w:rPr>
          <w:rFonts w:ascii="仿宋" w:hAnsi="仿宋" w:eastAsia="仿宋" w:cs="仿宋"/>
          <w:kern w:val="0"/>
          <w:sz w:val="32"/>
          <w:szCs w:val="32"/>
        </w:rPr>
        <w:t>按照相关政策执行政府采购程序，项目采购方式符合规定。</w:t>
      </w:r>
    </w:p>
    <w:p w14:paraId="6B408D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5FE050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（2）管理制度健全性（满分2.0分，实得0.0分）</w:t>
      </w:r>
    </w:p>
    <w:p w14:paraId="0722D8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项目单位</w:t>
      </w:r>
      <w:r>
        <w:rPr>
          <w:rFonts w:ascii="仿宋" w:hAnsi="仿宋" w:eastAsia="仿宋" w:cs="仿宋"/>
          <w:kern w:val="0"/>
          <w:sz w:val="32"/>
          <w:szCs w:val="32"/>
        </w:rPr>
        <w:t>没有制定相应的财务和业务管理制度。</w:t>
      </w:r>
    </w:p>
    <w:p w14:paraId="07BA29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根据评分标准，本指标满分2.0分，扣2.0分，评价得0.0分。</w:t>
      </w:r>
    </w:p>
    <w:p w14:paraId="3FC739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（3）绩效自评规范性（满分4.0分，实得2.0分）</w:t>
      </w:r>
    </w:p>
    <w:p w14:paraId="79E4E5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项目单位</w:t>
      </w:r>
      <w:r>
        <w:rPr>
          <w:rFonts w:hint="eastAsia" w:ascii="仿宋" w:hAnsi="仿宋" w:eastAsia="仿宋" w:cs="仿宋"/>
          <w:kern w:val="0"/>
          <w:sz w:val="32"/>
          <w:szCs w:val="32"/>
          <w:lang w:val="en-US" w:eastAsia="zh-CN"/>
        </w:rPr>
        <w:t>编制了</w:t>
      </w:r>
      <w:r>
        <w:rPr>
          <w:rFonts w:ascii="仿宋" w:hAnsi="仿宋" w:eastAsia="仿宋" w:cs="仿宋"/>
          <w:kern w:val="0"/>
          <w:sz w:val="32"/>
          <w:szCs w:val="32"/>
        </w:rPr>
        <w:t>自评表，但未编制自评报告。</w:t>
      </w:r>
    </w:p>
    <w:p w14:paraId="1DDBF0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根据评分标准，本指标满分4.0分，扣2.0分，评价得2.0分。</w:t>
      </w:r>
    </w:p>
    <w:p w14:paraId="5E2334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18762"/>
      <w:r>
        <w:rPr>
          <w:rFonts w:hint="eastAsia" w:ascii="楷体_GB2312" w:hAnsi="楷体_GB2312" w:eastAsia="楷体_GB2312" w:cs="楷体_GB2312"/>
          <w:b/>
          <w:bCs/>
          <w:kern w:val="0"/>
          <w:sz w:val="32"/>
          <w:szCs w:val="32"/>
        </w:rPr>
        <w:t>（三）产出指标（满分36.0分，实得32.08分）</w:t>
      </w:r>
      <w:bookmarkEnd w:id="71"/>
    </w:p>
    <w:p w14:paraId="109313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3CD3C9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4DE475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highlight w:val="none"/>
        </w:rPr>
        <w:t>西安建大城市规划设计研究院有限公司</w:t>
      </w:r>
      <w:r>
        <w:rPr>
          <w:rFonts w:hint="eastAsia" w:ascii="仿宋" w:hAnsi="仿宋" w:eastAsia="仿宋" w:cs="仿宋"/>
          <w:kern w:val="0"/>
          <w:sz w:val="32"/>
          <w:szCs w:val="32"/>
          <w:highlight w:val="none"/>
          <w:lang w:val="en-US" w:eastAsia="zh-CN"/>
        </w:rPr>
        <w:t>已经于2023年 12月22日完成编制工作并提交给自然资源局，</w:t>
      </w:r>
      <w:r>
        <w:rPr>
          <w:rFonts w:ascii="仿宋" w:hAnsi="仿宋" w:eastAsia="仿宋" w:cs="仿宋"/>
          <w:kern w:val="0"/>
          <w:sz w:val="32"/>
          <w:szCs w:val="32"/>
        </w:rPr>
        <w:t>项目计划内容已全部实施。</w:t>
      </w:r>
    </w:p>
    <w:p w14:paraId="145CD2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23786F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w:t>
      </w:r>
      <w:r>
        <w:rPr>
          <w:rFonts w:ascii="仿宋" w:hAnsi="仿宋" w:eastAsia="仿宋" w:cs="仿宋"/>
          <w:kern w:val="0"/>
          <w:sz w:val="32"/>
          <w:szCs w:val="32"/>
          <w:highlight w:val="none"/>
        </w:rPr>
        <w:t>实得9.0分</w:t>
      </w:r>
      <w:r>
        <w:rPr>
          <w:rFonts w:ascii="仿宋" w:hAnsi="仿宋" w:eastAsia="仿宋" w:cs="仿宋"/>
          <w:kern w:val="0"/>
          <w:sz w:val="32"/>
          <w:szCs w:val="32"/>
        </w:rPr>
        <w:t>）</w:t>
      </w:r>
    </w:p>
    <w:p w14:paraId="7EE329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1E059B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西安建大城市规划设计研究院有限公司</w:t>
      </w:r>
      <w:r>
        <w:rPr>
          <w:rFonts w:hint="eastAsia" w:ascii="仿宋" w:hAnsi="仿宋" w:eastAsia="仿宋" w:cs="仿宋"/>
          <w:kern w:val="0"/>
          <w:sz w:val="32"/>
          <w:szCs w:val="32"/>
          <w:lang w:val="en-US" w:eastAsia="zh-CN"/>
        </w:rPr>
        <w:t>完成编制工作并提交给自然资源局报告，主管部门并未提出异议，</w:t>
      </w:r>
      <w:r>
        <w:rPr>
          <w:rFonts w:ascii="仿宋" w:hAnsi="仿宋" w:eastAsia="仿宋" w:cs="仿宋"/>
          <w:kern w:val="0"/>
          <w:sz w:val="32"/>
          <w:szCs w:val="32"/>
        </w:rPr>
        <w:t>项目质量合格。</w:t>
      </w:r>
    </w:p>
    <w:p w14:paraId="4A394D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0DD1B8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5FB42D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481F87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西安建大城市规划设计研究院有限公司</w:t>
      </w:r>
      <w:r>
        <w:rPr>
          <w:rFonts w:hint="eastAsia" w:ascii="仿宋" w:hAnsi="仿宋" w:eastAsia="仿宋" w:cs="仿宋"/>
          <w:kern w:val="0"/>
          <w:sz w:val="32"/>
          <w:szCs w:val="32"/>
          <w:highlight w:val="none"/>
          <w:lang w:val="en-US" w:eastAsia="zh-CN"/>
        </w:rPr>
        <w:t>已经于2023年 12月22日完成编制工作，并提交给自然资源局</w:t>
      </w:r>
      <w:r>
        <w:rPr>
          <w:rFonts w:ascii="仿宋" w:hAnsi="仿宋" w:eastAsia="仿宋" w:cs="仿宋"/>
          <w:kern w:val="0"/>
          <w:sz w:val="32"/>
          <w:szCs w:val="32"/>
          <w:highlight w:val="none"/>
        </w:rPr>
        <w:t>项目已在约定时间内完成。</w:t>
      </w:r>
    </w:p>
    <w:p w14:paraId="2C4B50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3908D4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4、成本指标（满分9.0分，实得5.08分）</w:t>
      </w:r>
    </w:p>
    <w:p w14:paraId="402C49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成本节约率（满分9.0分，实得5.08分）</w:t>
      </w:r>
    </w:p>
    <w:p w14:paraId="6D29C5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项目实际到位资金为324万元，实际支出资金为338.13万元，成本节约率为-4.36%。</w:t>
      </w:r>
    </w:p>
    <w:p w14:paraId="51B405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根据评分标准，本指标满分9.0分，扣3.92分，评价得5.08分。</w:t>
      </w:r>
    </w:p>
    <w:p w14:paraId="67E98B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2152"/>
      <w:r>
        <w:rPr>
          <w:rFonts w:hint="eastAsia" w:ascii="楷体_GB2312" w:hAnsi="楷体_GB2312" w:eastAsia="楷体_GB2312" w:cs="楷体_GB2312"/>
          <w:b/>
          <w:bCs/>
          <w:kern w:val="0"/>
          <w:sz w:val="32"/>
          <w:szCs w:val="32"/>
        </w:rPr>
        <w:t>（四）效益指标（满分24.0分，实得24.0分）</w:t>
      </w:r>
      <w:bookmarkEnd w:id="72"/>
    </w:p>
    <w:p w14:paraId="1407E0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5B68EE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（1）提升城市品质，优化用地功能布局，提高城市空间治理水平和控规实施可行性（满分18.0分，实得18.0分）</w:t>
      </w:r>
    </w:p>
    <w:p w14:paraId="05D17B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通过对未来的规划编制，有利于</w:t>
      </w:r>
      <w:r>
        <w:rPr>
          <w:rFonts w:ascii="仿宋" w:hAnsi="仿宋" w:eastAsia="仿宋" w:cs="仿宋"/>
          <w:kern w:val="0"/>
          <w:sz w:val="32"/>
          <w:szCs w:val="32"/>
        </w:rPr>
        <w:t>提升城市品质、优化用地功能布局、合理保护生态价值与公共利益、提高城市空间治理水平和控规实施可行性、合理促进城市开发与经营。</w:t>
      </w:r>
    </w:p>
    <w:p w14:paraId="3F0A1A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49F145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315C2E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08A6A1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评价组机构通过抽样共计发放20份问卷，社会公众对项目的整体评价为非常满意。满意度调查情况详见《调查问卷分析》。</w:t>
      </w:r>
    </w:p>
    <w:p w14:paraId="469697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0F09324E">
      <w:pPr>
        <w:spacing w:before="104" w:line="600" w:lineRule="exact"/>
        <w:ind w:firstLine="672"/>
        <w:outlineLvl w:val="0"/>
        <w:rPr>
          <w:rFonts w:ascii="黑体" w:hAnsi="黑体" w:eastAsia="黑体" w:cs="黑体"/>
          <w:spacing w:val="-2"/>
          <w:sz w:val="32"/>
          <w:szCs w:val="32"/>
        </w:rPr>
      </w:pPr>
      <w:bookmarkStart w:id="73" w:name="_Toc12768"/>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2B6314B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74" w:name="_Toc1969"/>
      <w:r>
        <w:rPr>
          <w:rFonts w:hint="eastAsia" w:ascii="楷体_GB2312" w:hAnsi="楷体_GB2312" w:eastAsia="楷体_GB2312" w:cs="楷体_GB2312"/>
          <w:b/>
          <w:bCs/>
          <w:kern w:val="0"/>
          <w:sz w:val="32"/>
          <w:szCs w:val="32"/>
        </w:rPr>
        <w:t>（一）项目</w:t>
      </w:r>
      <w:r>
        <w:rPr>
          <w:rFonts w:hint="eastAsia" w:ascii="楷体_GB2312" w:hAnsi="楷体_GB2312" w:eastAsia="楷体_GB2312" w:cs="楷体_GB2312"/>
          <w:b/>
          <w:bCs/>
          <w:kern w:val="0"/>
          <w:sz w:val="32"/>
          <w:szCs w:val="32"/>
          <w:lang w:val="en-US" w:eastAsia="zh-CN"/>
        </w:rPr>
        <w:t>单位未提供</w:t>
      </w:r>
      <w:r>
        <w:rPr>
          <w:rFonts w:hint="eastAsia" w:ascii="楷体_GB2312" w:hAnsi="楷体_GB2312" w:eastAsia="楷体_GB2312" w:cs="楷体_GB2312"/>
          <w:b/>
          <w:bCs/>
          <w:kern w:val="0"/>
          <w:sz w:val="32"/>
          <w:szCs w:val="32"/>
        </w:rPr>
        <w:t>绩效目标</w:t>
      </w:r>
      <w:r>
        <w:rPr>
          <w:rFonts w:hint="eastAsia" w:ascii="楷体_GB2312" w:hAnsi="楷体_GB2312" w:eastAsia="楷体_GB2312" w:cs="楷体_GB2312"/>
          <w:b/>
          <w:bCs/>
          <w:kern w:val="0"/>
          <w:sz w:val="32"/>
          <w:szCs w:val="32"/>
          <w:lang w:val="en-US" w:eastAsia="zh-CN"/>
        </w:rPr>
        <w:t>申报表</w:t>
      </w:r>
      <w:bookmarkEnd w:id="74"/>
    </w:p>
    <w:p w14:paraId="70CB3AE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5" w:name="_Toc15232"/>
      <w:r>
        <w:rPr>
          <w:rFonts w:hint="eastAsia" w:ascii="楷体_GB2312" w:hAnsi="楷体_GB2312" w:eastAsia="楷体_GB2312" w:cs="楷体_GB2312"/>
          <w:b/>
          <w:bCs/>
          <w:kern w:val="0"/>
          <w:sz w:val="32"/>
          <w:szCs w:val="32"/>
        </w:rPr>
        <w:t>（二）项目单位没有制定相应的财务和业务管理制度</w:t>
      </w:r>
      <w:bookmarkEnd w:id="75"/>
    </w:p>
    <w:p w14:paraId="7B9878A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6" w:name="_Toc15488"/>
      <w:r>
        <w:rPr>
          <w:rFonts w:hint="eastAsia" w:ascii="楷体_GB2312" w:hAnsi="楷体_GB2312" w:eastAsia="楷体_GB2312" w:cs="楷体_GB2312"/>
          <w:b/>
          <w:bCs/>
          <w:kern w:val="0"/>
          <w:sz w:val="32"/>
          <w:szCs w:val="32"/>
        </w:rPr>
        <w:t>（三）项目实施单位未编制自评报告</w:t>
      </w:r>
      <w:bookmarkEnd w:id="76"/>
    </w:p>
    <w:p w14:paraId="5B86CFD9">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项目单位开展了绩效自评工作，编制了自评表，但未编制自评报告。</w:t>
      </w:r>
    </w:p>
    <w:p w14:paraId="1FAFF09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7" w:name="_Toc28587"/>
      <w:r>
        <w:rPr>
          <w:rFonts w:hint="eastAsia" w:ascii="楷体_GB2312" w:hAnsi="楷体_GB2312" w:eastAsia="楷体_GB2312" w:cs="楷体_GB2312"/>
          <w:b/>
          <w:bCs/>
          <w:kern w:val="0"/>
          <w:sz w:val="32"/>
          <w:szCs w:val="32"/>
        </w:rPr>
        <w:t>（四）项目成本超支</w:t>
      </w:r>
      <w:bookmarkEnd w:id="77"/>
    </w:p>
    <w:p w14:paraId="347B32FD">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项目实际到位资金为324万元，实际支出资金为338.13万元，成本节约率为-4.36%，项目成本超支。</w:t>
      </w:r>
    </w:p>
    <w:p w14:paraId="114FC190">
      <w:pPr>
        <w:spacing w:line="600" w:lineRule="exact"/>
        <w:ind w:firstLine="632" w:firstLineChars="200"/>
        <w:outlineLvl w:val="0"/>
        <w:rPr>
          <w:rFonts w:ascii="黑体" w:hAnsi="黑体" w:eastAsia="黑体" w:cs="黑体"/>
          <w:spacing w:val="-2"/>
          <w:sz w:val="32"/>
          <w:szCs w:val="32"/>
        </w:rPr>
      </w:pPr>
      <w:bookmarkStart w:id="78" w:name="_Toc20824"/>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8"/>
    </w:p>
    <w:p w14:paraId="58C5EE3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9" w:name="_Toc8633"/>
      <w:r>
        <w:rPr>
          <w:rFonts w:hint="eastAsia" w:ascii="楷体_GB2312" w:hAnsi="楷体_GB2312" w:eastAsia="楷体_GB2312" w:cs="楷体_GB2312"/>
          <w:b/>
          <w:bCs/>
          <w:kern w:val="0"/>
          <w:sz w:val="32"/>
          <w:szCs w:val="32"/>
        </w:rPr>
        <w:t>（一）设置项目的绩效目标及指标</w:t>
      </w:r>
      <w:bookmarkEnd w:id="79"/>
    </w:p>
    <w:p w14:paraId="50C3C4F2">
      <w:pPr>
        <w:spacing w:line="600" w:lineRule="exact"/>
        <w:ind w:firstLine="640" w:firstLineChars="200"/>
      </w:pPr>
      <w:r>
        <w:rPr>
          <w:rFonts w:hint="eastAsia" w:ascii="仿宋" w:hAnsi="仿宋" w:eastAsia="仿宋" w:cs="仿宋"/>
          <w:kern w:val="0"/>
          <w:sz w:val="32"/>
          <w:szCs w:val="32"/>
        </w:rPr>
        <w:t>在财政预算管理过程中，设置绩效目标能确保公共资金的有效利用和项目的顺利实施。通过明确绩效目标，政府部门和项目实施单位可以清晰地了解项目的预期成果和效益，从而有针对性地制定实施计划和资金配置方案。</w:t>
      </w:r>
    </w:p>
    <w:p w14:paraId="1C42B8C3">
      <w:pPr>
        <w:spacing w:line="600" w:lineRule="exact"/>
        <w:ind w:firstLine="640" w:firstLineChars="200"/>
      </w:pPr>
      <w:r>
        <w:rPr>
          <w:rFonts w:hint="eastAsia" w:ascii="仿宋" w:hAnsi="仿宋" w:eastAsia="仿宋" w:cs="仿宋"/>
          <w:kern w:val="0"/>
          <w:sz w:val="32"/>
          <w:szCs w:val="32"/>
        </w:rPr>
        <w:t>在财政预算管理过程中，设置明确、具体、可衡量的绩效指标能确保财政预算资金项目的有效执行和评估。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7A36A75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80" w:name="_Toc23434"/>
      <w:r>
        <w:rPr>
          <w:rFonts w:hint="eastAsia" w:ascii="楷体_GB2312" w:hAnsi="楷体_GB2312" w:eastAsia="楷体_GB2312" w:cs="楷体_GB2312"/>
          <w:b/>
          <w:bCs/>
          <w:kern w:val="0"/>
          <w:sz w:val="32"/>
          <w:szCs w:val="32"/>
        </w:rPr>
        <w:t>（二）制定相应的财务和业务管理制度，加强绩效管理</w:t>
      </w:r>
      <w:bookmarkEnd w:id="80"/>
    </w:p>
    <w:p w14:paraId="4EA49CD7">
      <w:pPr>
        <w:spacing w:line="600" w:lineRule="exact"/>
        <w:ind w:firstLine="640" w:firstLineChars="200"/>
      </w:pPr>
      <w:r>
        <w:rPr>
          <w:rFonts w:hint="eastAsia" w:ascii="仿宋" w:hAnsi="仿宋" w:eastAsia="仿宋" w:cs="仿宋"/>
          <w:kern w:val="0"/>
          <w:sz w:val="32"/>
          <w:szCs w:val="32"/>
        </w:rPr>
        <w:t>项目单位应根据项目的实际需要制定财务和业务管理制度，对项目进度和绩效目标实现情况进行监控、考核，及时纠正项目实施过程中的偏差，确保项目绩效目标顺利实现。</w:t>
      </w:r>
    </w:p>
    <w:p w14:paraId="6FCE98A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81" w:name="_Toc19367"/>
      <w:r>
        <w:rPr>
          <w:rFonts w:hint="eastAsia" w:ascii="楷体_GB2312" w:hAnsi="楷体_GB2312" w:eastAsia="楷体_GB2312" w:cs="楷体_GB2312"/>
          <w:b/>
          <w:bCs/>
          <w:kern w:val="0"/>
          <w:sz w:val="32"/>
          <w:szCs w:val="32"/>
        </w:rPr>
        <w:t>（三）及时编制自评报告</w:t>
      </w:r>
      <w:bookmarkEnd w:id="81"/>
    </w:p>
    <w:p w14:paraId="41A17D51">
      <w:pPr>
        <w:spacing w:line="600" w:lineRule="exact"/>
        <w:ind w:firstLine="640" w:firstLineChars="200"/>
      </w:pPr>
      <w:r>
        <w:rPr>
          <w:rFonts w:hint="eastAsia" w:ascii="仿宋" w:hAnsi="仿宋" w:eastAsia="仿宋" w:cs="仿宋"/>
          <w:kern w:val="0"/>
          <w:sz w:val="32"/>
          <w:szCs w:val="32"/>
        </w:rPr>
        <w:t>项目单位应及时编制自评报告，以全面反映项目的进展和成果。</w:t>
      </w:r>
    </w:p>
    <w:p w14:paraId="2FF4BD1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82" w:name="_Toc1868"/>
      <w:r>
        <w:rPr>
          <w:rFonts w:hint="eastAsia" w:ascii="楷体_GB2312" w:hAnsi="楷体_GB2312" w:eastAsia="楷体_GB2312" w:cs="楷体_GB2312"/>
          <w:b/>
          <w:bCs/>
          <w:kern w:val="0"/>
          <w:sz w:val="32"/>
          <w:szCs w:val="32"/>
        </w:rPr>
        <w:t>（四）合理规划工作任务，努力控制项目成本</w:t>
      </w:r>
      <w:bookmarkEnd w:id="82"/>
    </w:p>
    <w:p w14:paraId="32D8388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合理编制项目资金开支计划，准确制定工作实施方案，加快项目的推进。根据工作任务合理预计经费支出，保证预算经费能够保证实际工作所需，在成本控制方面节约成本。</w:t>
      </w:r>
    </w:p>
    <w:p w14:paraId="155AFE0D">
      <w:pPr>
        <w:spacing w:line="600" w:lineRule="exact"/>
        <w:ind w:left="1598" w:leftChars="304" w:hanging="960" w:hangingChars="300"/>
        <w:outlineLvl w:val="0"/>
        <w:rPr>
          <w:rFonts w:ascii="仿宋" w:hAnsi="仿宋" w:eastAsia="仿宋" w:cs="仿宋"/>
          <w:bCs/>
          <w:kern w:val="0"/>
          <w:sz w:val="32"/>
          <w:szCs w:val="32"/>
        </w:rPr>
      </w:pPr>
      <w:bookmarkStart w:id="83" w:name="_Toc16986"/>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项目绩效评价指标体系打分表</w:t>
      </w:r>
      <w:bookmarkEnd w:id="61"/>
      <w:bookmarkEnd w:id="62"/>
      <w:bookmarkEnd w:id="63"/>
      <w:bookmarkEnd w:id="64"/>
      <w:bookmarkEnd w:id="65"/>
      <w:bookmarkEnd w:id="66"/>
      <w:bookmarkEnd w:id="67"/>
      <w:bookmarkEnd w:id="68"/>
      <w:bookmarkEnd w:id="83"/>
    </w:p>
    <w:p w14:paraId="714512C4">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扶风县财政局</w:t>
      </w:r>
    </w:p>
    <w:p w14:paraId="512FDF8C">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77EA654C">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45D1AFA2">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县城北片区控制性详细规划编制工作经费绩效评价指标体系打分表</w:t>
      </w:r>
    </w:p>
    <w:tbl>
      <w:tblPr>
        <w:tblStyle w:val="13"/>
        <w:tblW w:w="13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720"/>
        <w:gridCol w:w="690"/>
        <w:gridCol w:w="720"/>
        <w:gridCol w:w="1245"/>
        <w:gridCol w:w="720"/>
        <w:gridCol w:w="947"/>
        <w:gridCol w:w="4740"/>
        <w:gridCol w:w="1245"/>
        <w:gridCol w:w="975"/>
        <w:gridCol w:w="1260"/>
      </w:tblGrid>
      <w:tr w14:paraId="00D7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3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5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5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9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2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4206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0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7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E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B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4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B993">
            <w:pPr>
              <w:jc w:val="center"/>
              <w:rPr>
                <w:rFonts w:hint="eastAsia" w:ascii="宋体" w:hAnsi="宋体" w:eastAsia="宋体" w:cs="宋体"/>
                <w:i w:val="0"/>
                <w:iCs w:val="0"/>
                <w:color w:val="000000"/>
                <w:sz w:val="22"/>
                <w:szCs w:val="22"/>
                <w:u w:val="none"/>
              </w:rPr>
            </w:pPr>
          </w:p>
        </w:tc>
        <w:tc>
          <w:tcPr>
            <w:tcW w:w="4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636C">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AA9A">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E437">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D3AA">
            <w:pPr>
              <w:jc w:val="center"/>
              <w:rPr>
                <w:rFonts w:hint="eastAsia" w:ascii="宋体" w:hAnsi="宋体" w:eastAsia="宋体" w:cs="宋体"/>
                <w:i w:val="0"/>
                <w:iCs w:val="0"/>
                <w:color w:val="000000"/>
                <w:sz w:val="22"/>
                <w:szCs w:val="22"/>
                <w:u w:val="none"/>
              </w:rPr>
            </w:pPr>
          </w:p>
        </w:tc>
      </w:tr>
      <w:tr w14:paraId="4A72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C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E1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B4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BD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8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7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7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DA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613A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B46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C18A">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CCD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BB76">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B83A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7FE7">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1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4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0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A5D4">
            <w:pPr>
              <w:jc w:val="center"/>
              <w:rPr>
                <w:rFonts w:hint="eastAsia" w:ascii="宋体" w:hAnsi="宋体" w:eastAsia="宋体" w:cs="宋体"/>
                <w:i w:val="0"/>
                <w:iCs w:val="0"/>
                <w:color w:val="000000"/>
                <w:sz w:val="22"/>
                <w:szCs w:val="22"/>
                <w:u w:val="none"/>
              </w:rPr>
            </w:pPr>
          </w:p>
        </w:tc>
      </w:tr>
      <w:tr w14:paraId="7BA7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5EA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29B0">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2D8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CB65">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8F0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39D7">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9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D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D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4AD9">
            <w:pPr>
              <w:jc w:val="center"/>
              <w:rPr>
                <w:rFonts w:hint="eastAsia" w:ascii="宋体" w:hAnsi="宋体" w:eastAsia="宋体" w:cs="宋体"/>
                <w:i w:val="0"/>
                <w:iCs w:val="0"/>
                <w:color w:val="000000"/>
                <w:sz w:val="22"/>
                <w:szCs w:val="22"/>
                <w:u w:val="none"/>
              </w:rPr>
            </w:pPr>
          </w:p>
        </w:tc>
      </w:tr>
      <w:tr w14:paraId="4470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2B8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B0B12">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EC6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6629">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B34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BD44">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1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C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BBD4">
            <w:pPr>
              <w:jc w:val="center"/>
              <w:rPr>
                <w:rFonts w:hint="eastAsia" w:ascii="宋体" w:hAnsi="宋体" w:eastAsia="宋体" w:cs="宋体"/>
                <w:i w:val="0"/>
                <w:iCs w:val="0"/>
                <w:color w:val="000000"/>
                <w:sz w:val="22"/>
                <w:szCs w:val="22"/>
                <w:u w:val="none"/>
              </w:rPr>
            </w:pPr>
          </w:p>
        </w:tc>
      </w:tr>
      <w:tr w14:paraId="631B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0C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E8D3">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6D3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55E5">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A93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7096">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D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5F7D7">
            <w:pPr>
              <w:jc w:val="center"/>
              <w:rPr>
                <w:rFonts w:hint="eastAsia" w:ascii="宋体" w:hAnsi="宋体" w:eastAsia="宋体" w:cs="宋体"/>
                <w:i w:val="0"/>
                <w:iCs w:val="0"/>
                <w:color w:val="000000"/>
                <w:sz w:val="22"/>
                <w:szCs w:val="22"/>
                <w:u w:val="none"/>
              </w:rPr>
            </w:pPr>
          </w:p>
        </w:tc>
      </w:tr>
      <w:tr w14:paraId="3E54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841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FCDE">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B0E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64CC">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75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95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C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7EA0">
            <w:pPr>
              <w:jc w:val="center"/>
              <w:rPr>
                <w:rFonts w:hint="eastAsia" w:ascii="宋体" w:hAnsi="宋体" w:eastAsia="宋体" w:cs="宋体"/>
                <w:i w:val="0"/>
                <w:iCs w:val="0"/>
                <w:color w:val="000000"/>
                <w:sz w:val="22"/>
                <w:szCs w:val="22"/>
                <w:u w:val="none"/>
              </w:rPr>
            </w:pPr>
          </w:p>
        </w:tc>
      </w:tr>
      <w:tr w14:paraId="6122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2A6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7C9C">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B75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C820">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E34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0981">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0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C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C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DA22">
            <w:pPr>
              <w:jc w:val="center"/>
              <w:rPr>
                <w:rFonts w:hint="eastAsia" w:ascii="宋体" w:hAnsi="宋体" w:eastAsia="宋体" w:cs="宋体"/>
                <w:i w:val="0"/>
                <w:iCs w:val="0"/>
                <w:color w:val="000000"/>
                <w:sz w:val="22"/>
                <w:szCs w:val="22"/>
                <w:u w:val="none"/>
              </w:rPr>
            </w:pPr>
          </w:p>
        </w:tc>
      </w:tr>
      <w:tr w14:paraId="125B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78E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6C11">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1DC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44CA">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7CC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927E">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D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2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C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1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8D7A">
            <w:pPr>
              <w:jc w:val="center"/>
              <w:rPr>
                <w:rFonts w:hint="eastAsia" w:ascii="宋体" w:hAnsi="宋体" w:eastAsia="宋体" w:cs="宋体"/>
                <w:i w:val="0"/>
                <w:iCs w:val="0"/>
                <w:color w:val="000000"/>
                <w:sz w:val="22"/>
                <w:szCs w:val="22"/>
                <w:u w:val="none"/>
              </w:rPr>
            </w:pPr>
          </w:p>
        </w:tc>
      </w:tr>
      <w:tr w14:paraId="1B59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5A9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2749">
            <w:pPr>
              <w:jc w:val="center"/>
              <w:rPr>
                <w:rFonts w:hint="eastAsia" w:ascii="宋体" w:hAnsi="宋体" w:eastAsia="宋体" w:cs="宋体"/>
                <w:i w:val="0"/>
                <w:iCs w:val="0"/>
                <w:color w:val="000000"/>
                <w:sz w:val="22"/>
                <w:szCs w:val="22"/>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1A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4F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31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A2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8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34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E62D">
            <w:pPr>
              <w:jc w:val="center"/>
              <w:rPr>
                <w:rFonts w:hint="eastAsia" w:ascii="宋体" w:hAnsi="宋体" w:eastAsia="宋体" w:cs="宋体"/>
                <w:i w:val="0"/>
                <w:iCs w:val="0"/>
                <w:color w:val="000000"/>
                <w:sz w:val="22"/>
                <w:szCs w:val="22"/>
                <w:u w:val="none"/>
              </w:rPr>
            </w:pPr>
          </w:p>
        </w:tc>
      </w:tr>
      <w:tr w14:paraId="5DD8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D78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FE1A">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09A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A333A">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1C5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484D">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4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5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D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CA58">
            <w:pPr>
              <w:jc w:val="center"/>
              <w:rPr>
                <w:rFonts w:hint="eastAsia" w:ascii="宋体" w:hAnsi="宋体" w:eastAsia="宋体" w:cs="宋体"/>
                <w:i w:val="0"/>
                <w:iCs w:val="0"/>
                <w:color w:val="000000"/>
                <w:sz w:val="22"/>
                <w:szCs w:val="22"/>
                <w:u w:val="none"/>
              </w:rPr>
            </w:pPr>
          </w:p>
        </w:tc>
      </w:tr>
      <w:tr w14:paraId="32C8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D5B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CC1A">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348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85C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D20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DF32">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2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2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F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A427">
            <w:pPr>
              <w:jc w:val="center"/>
              <w:rPr>
                <w:rFonts w:hint="eastAsia" w:ascii="宋体" w:hAnsi="宋体" w:eastAsia="宋体" w:cs="宋体"/>
                <w:i w:val="0"/>
                <w:iCs w:val="0"/>
                <w:color w:val="000000"/>
                <w:sz w:val="22"/>
                <w:szCs w:val="22"/>
                <w:u w:val="none"/>
              </w:rPr>
            </w:pPr>
          </w:p>
        </w:tc>
      </w:tr>
      <w:tr w14:paraId="2060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0D4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DF4E">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FC1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971D">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76F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C5C9">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2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2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0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F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2EB5">
            <w:pPr>
              <w:jc w:val="center"/>
              <w:rPr>
                <w:rFonts w:hint="eastAsia" w:ascii="宋体" w:hAnsi="宋体" w:eastAsia="宋体" w:cs="宋体"/>
                <w:i w:val="0"/>
                <w:iCs w:val="0"/>
                <w:color w:val="000000"/>
                <w:sz w:val="22"/>
                <w:szCs w:val="22"/>
                <w:u w:val="none"/>
              </w:rPr>
            </w:pPr>
          </w:p>
        </w:tc>
      </w:tr>
      <w:tr w14:paraId="2335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5B0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9BE9">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09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F206">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E1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5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1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B027">
            <w:pPr>
              <w:jc w:val="center"/>
              <w:rPr>
                <w:rFonts w:hint="eastAsia" w:ascii="宋体" w:hAnsi="宋体" w:eastAsia="宋体" w:cs="宋体"/>
                <w:i w:val="0"/>
                <w:iCs w:val="0"/>
                <w:color w:val="000000"/>
                <w:sz w:val="22"/>
                <w:szCs w:val="22"/>
                <w:u w:val="none"/>
              </w:rPr>
            </w:pPr>
          </w:p>
        </w:tc>
      </w:tr>
      <w:tr w14:paraId="1885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FC0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4756">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60B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CC00">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601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D5B14">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8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7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1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7667">
            <w:pPr>
              <w:jc w:val="center"/>
              <w:rPr>
                <w:rFonts w:hint="eastAsia" w:ascii="宋体" w:hAnsi="宋体" w:eastAsia="宋体" w:cs="宋体"/>
                <w:i w:val="0"/>
                <w:iCs w:val="0"/>
                <w:color w:val="000000"/>
                <w:sz w:val="22"/>
                <w:szCs w:val="22"/>
                <w:u w:val="none"/>
              </w:rPr>
            </w:pPr>
          </w:p>
        </w:tc>
      </w:tr>
      <w:tr w14:paraId="57FD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D46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6E0B">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A9E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C50D">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2C8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BDD0">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1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6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9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AD55">
            <w:pPr>
              <w:jc w:val="center"/>
              <w:rPr>
                <w:rFonts w:hint="eastAsia" w:ascii="宋体" w:hAnsi="宋体" w:eastAsia="宋体" w:cs="宋体"/>
                <w:i w:val="0"/>
                <w:iCs w:val="0"/>
                <w:color w:val="000000"/>
                <w:sz w:val="22"/>
                <w:szCs w:val="22"/>
                <w:u w:val="none"/>
              </w:rPr>
            </w:pPr>
          </w:p>
        </w:tc>
      </w:tr>
      <w:tr w14:paraId="22BC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0D61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62A2">
            <w:pPr>
              <w:jc w:val="center"/>
              <w:rPr>
                <w:rFonts w:hint="eastAsia" w:ascii="宋体" w:hAnsi="宋体" w:eastAsia="宋体" w:cs="宋体"/>
                <w:i w:val="0"/>
                <w:iCs w:val="0"/>
                <w:color w:val="000000"/>
                <w:sz w:val="22"/>
                <w:szCs w:val="22"/>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BD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3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5A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41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9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5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7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019E">
            <w:pPr>
              <w:jc w:val="center"/>
              <w:rPr>
                <w:rFonts w:hint="eastAsia" w:ascii="宋体" w:hAnsi="宋体" w:eastAsia="宋体" w:cs="宋体"/>
                <w:i w:val="0"/>
                <w:iCs w:val="0"/>
                <w:color w:val="000000"/>
                <w:sz w:val="22"/>
                <w:szCs w:val="22"/>
                <w:u w:val="none"/>
              </w:rPr>
            </w:pPr>
          </w:p>
        </w:tc>
      </w:tr>
      <w:tr w14:paraId="1B8D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928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43B5">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09D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84E7">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2A6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4406">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8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B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70FC">
            <w:pPr>
              <w:jc w:val="center"/>
              <w:rPr>
                <w:rFonts w:hint="eastAsia" w:ascii="宋体" w:hAnsi="宋体" w:eastAsia="宋体" w:cs="宋体"/>
                <w:i w:val="0"/>
                <w:iCs w:val="0"/>
                <w:color w:val="000000"/>
                <w:sz w:val="22"/>
                <w:szCs w:val="22"/>
                <w:u w:val="none"/>
              </w:rPr>
            </w:pPr>
          </w:p>
        </w:tc>
      </w:tr>
      <w:tr w14:paraId="6E29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081F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5888">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293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07CB">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289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BD97">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D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0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605D">
            <w:pPr>
              <w:jc w:val="center"/>
              <w:rPr>
                <w:rFonts w:hint="eastAsia" w:ascii="宋体" w:hAnsi="宋体" w:eastAsia="宋体" w:cs="宋体"/>
                <w:i w:val="0"/>
                <w:iCs w:val="0"/>
                <w:color w:val="000000"/>
                <w:sz w:val="22"/>
                <w:szCs w:val="22"/>
                <w:u w:val="none"/>
              </w:rPr>
            </w:pPr>
          </w:p>
        </w:tc>
      </w:tr>
      <w:tr w14:paraId="633F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117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FE24">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4E5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8E77">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912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3598">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5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9D8E">
            <w:pPr>
              <w:jc w:val="center"/>
              <w:rPr>
                <w:rFonts w:hint="eastAsia" w:ascii="宋体" w:hAnsi="宋体" w:eastAsia="宋体" w:cs="宋体"/>
                <w:i w:val="0"/>
                <w:iCs w:val="0"/>
                <w:color w:val="000000"/>
                <w:sz w:val="22"/>
                <w:szCs w:val="22"/>
                <w:u w:val="none"/>
              </w:rPr>
            </w:pPr>
          </w:p>
        </w:tc>
      </w:tr>
      <w:tr w14:paraId="0D5E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92F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6BF8">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28D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767D">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43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75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7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1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33602">
            <w:pPr>
              <w:jc w:val="center"/>
              <w:rPr>
                <w:rFonts w:hint="eastAsia" w:ascii="宋体" w:hAnsi="宋体" w:eastAsia="宋体" w:cs="宋体"/>
                <w:i w:val="0"/>
                <w:iCs w:val="0"/>
                <w:color w:val="000000"/>
                <w:sz w:val="22"/>
                <w:szCs w:val="22"/>
                <w:u w:val="none"/>
              </w:rPr>
            </w:pPr>
          </w:p>
        </w:tc>
      </w:tr>
      <w:tr w14:paraId="5971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EB3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FB4B">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A8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F6C0">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18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85A02">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0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9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D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DF03">
            <w:pPr>
              <w:jc w:val="center"/>
              <w:rPr>
                <w:rFonts w:hint="eastAsia" w:ascii="宋体" w:hAnsi="宋体" w:eastAsia="宋体" w:cs="宋体"/>
                <w:i w:val="0"/>
                <w:iCs w:val="0"/>
                <w:color w:val="000000"/>
                <w:sz w:val="22"/>
                <w:szCs w:val="22"/>
                <w:u w:val="none"/>
              </w:rPr>
            </w:pPr>
          </w:p>
        </w:tc>
      </w:tr>
      <w:tr w14:paraId="24B3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5E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B8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AB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82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1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8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D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6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3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C08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E98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03A0">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ABD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51D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0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B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4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4DBE">
            <w:pPr>
              <w:jc w:val="center"/>
              <w:rPr>
                <w:rFonts w:hint="eastAsia" w:ascii="宋体" w:hAnsi="宋体" w:eastAsia="宋体" w:cs="宋体"/>
                <w:i w:val="0"/>
                <w:iCs w:val="0"/>
                <w:color w:val="000000"/>
                <w:sz w:val="22"/>
                <w:szCs w:val="22"/>
                <w:u w:val="none"/>
              </w:rPr>
            </w:pPr>
          </w:p>
        </w:tc>
      </w:tr>
      <w:tr w14:paraId="3BAF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A0F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57611">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008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DA43A">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B7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8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9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0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104B8">
            <w:pPr>
              <w:jc w:val="center"/>
              <w:rPr>
                <w:rFonts w:hint="eastAsia" w:ascii="宋体" w:hAnsi="宋体" w:eastAsia="宋体" w:cs="宋体"/>
                <w:i w:val="0"/>
                <w:iCs w:val="0"/>
                <w:color w:val="000000"/>
                <w:sz w:val="22"/>
                <w:szCs w:val="22"/>
                <w:u w:val="none"/>
              </w:rPr>
            </w:pPr>
          </w:p>
        </w:tc>
      </w:tr>
      <w:tr w14:paraId="40FA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D98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6FC3">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F22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2A58">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9EF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62E6">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9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4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1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B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5514">
            <w:pPr>
              <w:jc w:val="center"/>
              <w:rPr>
                <w:rFonts w:hint="eastAsia" w:ascii="宋体" w:hAnsi="宋体" w:eastAsia="宋体" w:cs="宋体"/>
                <w:i w:val="0"/>
                <w:iCs w:val="0"/>
                <w:color w:val="000000"/>
                <w:sz w:val="22"/>
                <w:szCs w:val="22"/>
                <w:u w:val="none"/>
              </w:rPr>
            </w:pPr>
          </w:p>
        </w:tc>
      </w:tr>
      <w:tr w14:paraId="5806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6EF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39C3">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8E3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13F8">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2DF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E5C9">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C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B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A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A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EFCA">
            <w:pPr>
              <w:jc w:val="center"/>
              <w:rPr>
                <w:rFonts w:hint="eastAsia" w:ascii="宋体" w:hAnsi="宋体" w:eastAsia="宋体" w:cs="宋体"/>
                <w:i w:val="0"/>
                <w:iCs w:val="0"/>
                <w:color w:val="000000"/>
                <w:sz w:val="22"/>
                <w:szCs w:val="22"/>
                <w:u w:val="none"/>
              </w:rPr>
            </w:pPr>
          </w:p>
        </w:tc>
      </w:tr>
      <w:tr w14:paraId="6832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109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513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6F0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027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679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74F8">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D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6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C21F">
            <w:pPr>
              <w:jc w:val="center"/>
              <w:rPr>
                <w:rFonts w:hint="eastAsia" w:ascii="宋体" w:hAnsi="宋体" w:eastAsia="宋体" w:cs="宋体"/>
                <w:i w:val="0"/>
                <w:iCs w:val="0"/>
                <w:color w:val="000000"/>
                <w:sz w:val="22"/>
                <w:szCs w:val="22"/>
                <w:u w:val="none"/>
              </w:rPr>
            </w:pPr>
          </w:p>
        </w:tc>
      </w:tr>
      <w:tr w14:paraId="3A35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53F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A937">
            <w:pPr>
              <w:jc w:val="center"/>
              <w:rPr>
                <w:rFonts w:hint="eastAsia" w:ascii="宋体" w:hAnsi="宋体" w:eastAsia="宋体" w:cs="宋体"/>
                <w:i w:val="0"/>
                <w:iCs w:val="0"/>
                <w:color w:val="000000"/>
                <w:sz w:val="22"/>
                <w:szCs w:val="22"/>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DF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03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EE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EC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B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F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8998">
            <w:pPr>
              <w:jc w:val="center"/>
              <w:rPr>
                <w:rFonts w:hint="eastAsia" w:ascii="宋体" w:hAnsi="宋体" w:eastAsia="宋体" w:cs="宋体"/>
                <w:i w:val="0"/>
                <w:iCs w:val="0"/>
                <w:color w:val="000000"/>
                <w:sz w:val="22"/>
                <w:szCs w:val="22"/>
                <w:u w:val="none"/>
              </w:rPr>
            </w:pPr>
          </w:p>
        </w:tc>
      </w:tr>
      <w:tr w14:paraId="70D3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4C8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D0B3">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16D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6255">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BBC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E56F">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3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B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3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216D">
            <w:pPr>
              <w:jc w:val="center"/>
              <w:rPr>
                <w:rFonts w:hint="eastAsia" w:ascii="宋体" w:hAnsi="宋体" w:eastAsia="宋体" w:cs="宋体"/>
                <w:i w:val="0"/>
                <w:iCs w:val="0"/>
                <w:color w:val="000000"/>
                <w:sz w:val="22"/>
                <w:szCs w:val="22"/>
                <w:u w:val="none"/>
              </w:rPr>
            </w:pPr>
          </w:p>
        </w:tc>
      </w:tr>
      <w:tr w14:paraId="6911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9B8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5AD0">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233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88A4">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D57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D392">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B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5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74926">
            <w:pPr>
              <w:jc w:val="center"/>
              <w:rPr>
                <w:rFonts w:hint="eastAsia" w:ascii="宋体" w:hAnsi="宋体" w:eastAsia="宋体" w:cs="宋体"/>
                <w:i w:val="0"/>
                <w:iCs w:val="0"/>
                <w:color w:val="000000"/>
                <w:sz w:val="22"/>
                <w:szCs w:val="22"/>
                <w:u w:val="none"/>
              </w:rPr>
            </w:pPr>
          </w:p>
        </w:tc>
      </w:tr>
      <w:tr w14:paraId="7D00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68D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CBE0">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0CF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F0F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08E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F095A">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A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9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4CC2">
            <w:pPr>
              <w:jc w:val="center"/>
              <w:rPr>
                <w:rFonts w:hint="eastAsia" w:ascii="宋体" w:hAnsi="宋体" w:eastAsia="宋体" w:cs="宋体"/>
                <w:i w:val="0"/>
                <w:iCs w:val="0"/>
                <w:color w:val="000000"/>
                <w:sz w:val="22"/>
                <w:szCs w:val="22"/>
                <w:u w:val="none"/>
              </w:rPr>
            </w:pPr>
          </w:p>
        </w:tc>
      </w:tr>
      <w:tr w14:paraId="6569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759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8B72">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CC4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E962">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0AA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0DA5">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4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8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B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E948">
            <w:pPr>
              <w:jc w:val="center"/>
              <w:rPr>
                <w:rFonts w:hint="eastAsia" w:ascii="宋体" w:hAnsi="宋体" w:eastAsia="宋体" w:cs="宋体"/>
                <w:i w:val="0"/>
                <w:iCs w:val="0"/>
                <w:color w:val="000000"/>
                <w:sz w:val="22"/>
                <w:szCs w:val="22"/>
                <w:u w:val="none"/>
              </w:rPr>
            </w:pPr>
          </w:p>
        </w:tc>
      </w:tr>
      <w:tr w14:paraId="147E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245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E55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035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9005">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12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9C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8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82E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A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D9A7">
            <w:pPr>
              <w:jc w:val="center"/>
              <w:rPr>
                <w:rFonts w:hint="eastAsia" w:ascii="宋体" w:hAnsi="宋体" w:eastAsia="宋体" w:cs="宋体"/>
                <w:i w:val="0"/>
                <w:iCs w:val="0"/>
                <w:color w:val="000000"/>
                <w:sz w:val="22"/>
                <w:szCs w:val="22"/>
                <w:u w:val="none"/>
              </w:rPr>
            </w:pPr>
          </w:p>
        </w:tc>
      </w:tr>
      <w:tr w14:paraId="49E0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FBC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321A">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2ED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108B">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7EF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570F">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1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5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F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E7FA">
            <w:pPr>
              <w:jc w:val="center"/>
              <w:rPr>
                <w:rFonts w:hint="eastAsia" w:ascii="宋体" w:hAnsi="宋体" w:eastAsia="宋体" w:cs="宋体"/>
                <w:i w:val="0"/>
                <w:iCs w:val="0"/>
                <w:color w:val="000000"/>
                <w:sz w:val="22"/>
                <w:szCs w:val="22"/>
                <w:u w:val="none"/>
              </w:rPr>
            </w:pPr>
          </w:p>
        </w:tc>
      </w:tr>
      <w:tr w14:paraId="36F0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612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EB35">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477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BBF7">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53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98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0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未编制自评报告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3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4327">
            <w:pPr>
              <w:jc w:val="center"/>
              <w:rPr>
                <w:rFonts w:hint="eastAsia" w:ascii="宋体" w:hAnsi="宋体" w:eastAsia="宋体" w:cs="宋体"/>
                <w:i w:val="0"/>
                <w:iCs w:val="0"/>
                <w:color w:val="000000"/>
                <w:sz w:val="22"/>
                <w:szCs w:val="22"/>
                <w:u w:val="none"/>
              </w:rPr>
            </w:pPr>
          </w:p>
        </w:tc>
      </w:tr>
      <w:tr w14:paraId="31D0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C8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7FEF">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353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6C19">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DB7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8E97">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B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C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88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未编制自评报告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B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7786">
            <w:pPr>
              <w:jc w:val="center"/>
              <w:rPr>
                <w:rFonts w:hint="eastAsia" w:ascii="宋体" w:hAnsi="宋体" w:eastAsia="宋体" w:cs="宋体"/>
                <w:i w:val="0"/>
                <w:iCs w:val="0"/>
                <w:color w:val="000000"/>
                <w:sz w:val="22"/>
                <w:szCs w:val="22"/>
                <w:u w:val="none"/>
              </w:rPr>
            </w:pPr>
          </w:p>
        </w:tc>
      </w:tr>
      <w:tr w14:paraId="5BA6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D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E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A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5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县城北片区控制性详细规划编制实际完成率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1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9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6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县城新区控制性详细规划、建筑风貌及城市设计、基础地形图测绘，实际完成率：按照{已完成工作进度}/{计划工作进度}*100%得出指标值，按照（指标值-（60%））/（（100%）-（60%））× 赋分值得分。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8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B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FB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w:t>
            </w:r>
          </w:p>
        </w:tc>
      </w:tr>
      <w:tr w14:paraId="10D7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101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B7D7">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1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6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县城北片区控制性详细规划编制质量合格率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4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县城新区控制性详细规划、建筑风貌及城市设计、基础地形图测绘，质量达标率：按照{经费项目质量达标项目数}/1*100%得出指标值，按照（指标值-（60%））/（（100%）-（60%））× 赋分值得分。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6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592F">
            <w:pPr>
              <w:jc w:val="center"/>
              <w:rPr>
                <w:rFonts w:hint="eastAsia" w:ascii="宋体" w:hAnsi="宋体" w:eastAsia="宋体" w:cs="宋体"/>
                <w:i w:val="0"/>
                <w:iCs w:val="0"/>
                <w:color w:val="000000"/>
                <w:sz w:val="22"/>
                <w:szCs w:val="22"/>
                <w:u w:val="none"/>
              </w:rPr>
            </w:pPr>
          </w:p>
        </w:tc>
      </w:tr>
      <w:tr w14:paraId="7EEA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39F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2E57">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F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4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8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县城北片区控制性详细规划编制完成及时率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B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3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县城新区控制性详细规划、建筑风貌及城市设计、基础地形图测绘，完成及时率：按照{已完成工作进度}/{计划工作进度}*100%得出指标值，按照（指标值-（60%））/（（100%）-（60%））× 赋分值得分。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F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DB98">
            <w:pPr>
              <w:jc w:val="center"/>
              <w:rPr>
                <w:rFonts w:hint="eastAsia" w:ascii="宋体" w:hAnsi="宋体" w:eastAsia="宋体" w:cs="宋体"/>
                <w:i w:val="0"/>
                <w:iCs w:val="0"/>
                <w:color w:val="000000"/>
                <w:sz w:val="22"/>
                <w:szCs w:val="22"/>
                <w:u w:val="none"/>
              </w:rPr>
            </w:pPr>
          </w:p>
        </w:tc>
      </w:tr>
      <w:tr w14:paraId="61F3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7EB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68A6">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1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县城北片区控制性详细规划编制成本节约率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2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县城新区控制性详细规划、建筑风貌及城市设计、基础地形图测绘，成本节约率：按照({经费项目计划支出}-{经费项目预计支出})/{经费项目计划支出}*100%得出指标值，按照（指标值-（-10%））/（（0%）-（-10%））× 赋分值得分。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1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FA40">
            <w:pPr>
              <w:jc w:val="center"/>
              <w:rPr>
                <w:rFonts w:hint="eastAsia" w:ascii="宋体" w:hAnsi="宋体" w:eastAsia="宋体" w:cs="宋体"/>
                <w:i w:val="0"/>
                <w:iCs w:val="0"/>
                <w:color w:val="000000"/>
                <w:sz w:val="22"/>
                <w:szCs w:val="22"/>
                <w:u w:val="none"/>
              </w:rPr>
            </w:pPr>
          </w:p>
        </w:tc>
      </w:tr>
      <w:tr w14:paraId="261F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E7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84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2A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5C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A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提升城市品质，优化用地功能布局，提高城市空间治理水平和控规实施可行性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C9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4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提升城市品质，优化用地功能布局：按照*&lt;计算公式&gt;*得出指标值，按照*&lt;得分公式&gt;*得分。达成目标得100%分，基本达成目标得75%分，部分实现目标得50%分，实现程度较低得25%分，实现程度低得0%分。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1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37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7BC4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539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530D">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5E0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53AC">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582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D703">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城市空间治理水平和控规实施可行性：按照*&lt;计算公式&gt;*得出指标值，按照*&lt;得分公式&gt;*得分。达成目标得100%分，基本达成目标得75%分，部分实现目标得50%分，实现程度较低得25%分，实现程度低得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6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3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AF1C">
            <w:pPr>
              <w:jc w:val="center"/>
              <w:rPr>
                <w:rFonts w:hint="eastAsia" w:ascii="宋体" w:hAnsi="宋体" w:eastAsia="宋体" w:cs="宋体"/>
                <w:i w:val="0"/>
                <w:iCs w:val="0"/>
                <w:color w:val="000000"/>
                <w:sz w:val="22"/>
                <w:szCs w:val="22"/>
                <w:u w:val="none"/>
              </w:rPr>
            </w:pPr>
          </w:p>
        </w:tc>
      </w:tr>
      <w:tr w14:paraId="6EE1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EFB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F921">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A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B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6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7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8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1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2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6971">
            <w:pPr>
              <w:jc w:val="center"/>
              <w:rPr>
                <w:rFonts w:hint="eastAsia" w:ascii="宋体" w:hAnsi="宋体" w:eastAsia="宋体" w:cs="宋体"/>
                <w:i w:val="0"/>
                <w:iCs w:val="0"/>
                <w:color w:val="000000"/>
                <w:sz w:val="22"/>
                <w:szCs w:val="22"/>
                <w:u w:val="none"/>
              </w:rPr>
            </w:pPr>
          </w:p>
        </w:tc>
      </w:tr>
      <w:tr w14:paraId="1816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E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C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745C">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E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050E">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9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1C40">
            <w:pP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2DC">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9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5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85.08</w:t>
            </w:r>
          </w:p>
        </w:tc>
      </w:tr>
    </w:tbl>
    <w:p w14:paraId="1F354F24">
      <w:pPr>
        <w:spacing w:line="600" w:lineRule="exact"/>
        <w:jc w:val="both"/>
        <w:rPr>
          <w:rFonts w:hint="default"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158EE8-8BE7-4B01-B69F-5C5D55CBBD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5F2CEC3-E887-423D-8300-6C92BBCADF3D}"/>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AB02DBBB-EB7F-4909-8522-2571BB798469}"/>
  </w:font>
  <w:font w:name="楷体_GB2312">
    <w:panose1 w:val="02010609060101010101"/>
    <w:charset w:val="86"/>
    <w:family w:val="auto"/>
    <w:pitch w:val="default"/>
    <w:sig w:usb0="800002BF" w:usb1="38CF7CFA" w:usb2="00000016" w:usb3="00000000" w:csb0="00040001" w:csb1="00000000"/>
    <w:embedRegular r:id="rId4" w:fontKey="{B5A7C2E1-9C25-42F0-9E6C-BA75272AAB3A}"/>
  </w:font>
  <w:font w:name="方正小标宋_GBK">
    <w:panose1 w:val="02000000000000000000"/>
    <w:charset w:val="86"/>
    <w:family w:val="auto"/>
    <w:pitch w:val="default"/>
    <w:sig w:usb0="A00002BF" w:usb1="38CF7CFA" w:usb2="00082016" w:usb3="00000000" w:csb0="00040001" w:csb1="00000000"/>
    <w:embedRegular r:id="rId5" w:fontKey="{7FC1E771-62A0-465D-BD48-9D76573B21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41CA">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9FCA">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247C">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3DA5">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CE4F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CE4F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C364685"/>
    <w:rsid w:val="1FA369C5"/>
    <w:rsid w:val="20CF3A20"/>
    <w:rsid w:val="240A66CC"/>
    <w:rsid w:val="24853FA4"/>
    <w:rsid w:val="2B08723A"/>
    <w:rsid w:val="331D184C"/>
    <w:rsid w:val="33595418"/>
    <w:rsid w:val="351F71C7"/>
    <w:rsid w:val="357670A9"/>
    <w:rsid w:val="3DD46CC1"/>
    <w:rsid w:val="463B406B"/>
    <w:rsid w:val="4F980780"/>
    <w:rsid w:val="517F5754"/>
    <w:rsid w:val="52AC78DC"/>
    <w:rsid w:val="552C79A0"/>
    <w:rsid w:val="57811AFA"/>
    <w:rsid w:val="5A8A1B33"/>
    <w:rsid w:val="5C341831"/>
    <w:rsid w:val="61B03707"/>
    <w:rsid w:val="67BB6D41"/>
    <w:rsid w:val="69AC0C58"/>
    <w:rsid w:val="6C230415"/>
    <w:rsid w:val="70E62CA2"/>
    <w:rsid w:val="79CA039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772737bf-8f8c-4a5b-8eb7-a837dcbe294a}">
  <ds:schemaRefs/>
</ds:datastoreItem>
</file>

<file path=customXml/itemProps4.xml><?xml version="1.0" encoding="utf-8"?>
<ds:datastoreItem xmlns:ds="http://schemas.openxmlformats.org/officeDocument/2006/customXml" ds:itemID="{46a1691c-9f84-4513-bd9d-abefaeacb906}">
  <ds:schemaRefs/>
</ds:datastoreItem>
</file>

<file path=customXml/itemProps5.xml><?xml version="1.0" encoding="utf-8"?>
<ds:datastoreItem xmlns:ds="http://schemas.openxmlformats.org/officeDocument/2006/customXml" ds:itemID="{66323ea3-27c1-4856-8967-2a55a044def6}">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10284</Words>
  <Characters>11183</Characters>
  <Lines>38</Lines>
  <Paragraphs>10</Paragraphs>
  <TotalTime>108</TotalTime>
  <ScaleCrop>false</ScaleCrop>
  <LinksUpToDate>false</LinksUpToDate>
  <CharactersWithSpaces>11299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2024-11-12T08:48:34Z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CDF9CC41DD5F4E7BA1AB590E0E38575F_13</vt:lpwstr>
  </property>
</Properties>
</file>