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31DC4">
      <w:pPr>
        <w:spacing w:line="248" w:lineRule="auto"/>
        <w:rPr>
          <w:rFonts w:ascii="宋体"/>
        </w:rPr>
      </w:pPr>
    </w:p>
    <w:p w14:paraId="7B0B5ED1">
      <w:pPr>
        <w:spacing w:line="248" w:lineRule="auto"/>
        <w:rPr>
          <w:rFonts w:ascii="宋体"/>
        </w:rPr>
      </w:pPr>
      <w:bookmarkStart w:id="0" w:name="_Toc28812"/>
    </w:p>
    <w:p w14:paraId="0A042CB1">
      <w:pPr>
        <w:spacing w:line="248" w:lineRule="auto"/>
        <w:rPr>
          <w:rFonts w:ascii="宋体"/>
        </w:rPr>
      </w:pPr>
    </w:p>
    <w:p w14:paraId="48408C86">
      <w:pPr>
        <w:jc w:val="center"/>
        <w:outlineLvl w:val="9"/>
        <w:rPr>
          <w:rFonts w:ascii="楷体" w:hAnsi="楷体" w:eastAsia="楷体" w:cs="楷体"/>
          <w:b/>
          <w:bCs/>
          <w:sz w:val="36"/>
          <w:szCs w:val="36"/>
        </w:rPr>
      </w:pPr>
      <w:bookmarkStart w:id="1" w:name="_Toc16984"/>
      <w:bookmarkStart w:id="2" w:name="_Toc24848"/>
      <w:r>
        <w:rPr>
          <w:rFonts w:ascii="楷体" w:hAnsi="楷体" w:eastAsia="楷体" w:cs="楷体"/>
          <w:b/>
          <w:bCs/>
          <w:sz w:val="36"/>
          <w:szCs w:val="36"/>
        </w:rPr>
        <w:t>国土空间总体规划编制工作经费</w:t>
      </w:r>
      <w:bookmarkEnd w:id="1"/>
      <w:bookmarkEnd w:id="2"/>
    </w:p>
    <w:p w14:paraId="381695F9">
      <w:pPr>
        <w:spacing w:line="248" w:lineRule="auto"/>
        <w:rPr>
          <w:rFonts w:ascii="宋体"/>
        </w:rPr>
      </w:pPr>
    </w:p>
    <w:p w14:paraId="542F69FF">
      <w:pPr>
        <w:spacing w:line="248" w:lineRule="auto"/>
        <w:rPr>
          <w:rFonts w:ascii="宋体"/>
        </w:rPr>
      </w:pPr>
    </w:p>
    <w:p w14:paraId="50E3AD2D">
      <w:pPr>
        <w:spacing w:line="248" w:lineRule="auto"/>
        <w:rPr>
          <w:rFonts w:ascii="宋体"/>
        </w:rPr>
      </w:pPr>
    </w:p>
    <w:p w14:paraId="0EB3BFF3">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0D78631A">
      <w:pPr>
        <w:spacing w:line="248" w:lineRule="auto"/>
        <w:jc w:val="center"/>
        <w:rPr>
          <w:rFonts w:hint="eastAsia" w:ascii="楷体" w:hAnsi="楷体" w:eastAsia="楷体" w:cs="楷体"/>
          <w:b/>
          <w:bCs/>
          <w:sz w:val="36"/>
          <w:szCs w:val="36"/>
          <w:lang w:eastAsia="zh-CN"/>
        </w:rPr>
      </w:pPr>
    </w:p>
    <w:p w14:paraId="76CF1C5E">
      <w:pPr>
        <w:spacing w:line="248" w:lineRule="auto"/>
        <w:rPr>
          <w:rFonts w:ascii="宋体"/>
        </w:rPr>
      </w:pPr>
    </w:p>
    <w:p w14:paraId="395B638B">
      <w:pPr>
        <w:spacing w:line="248" w:lineRule="auto"/>
        <w:rPr>
          <w:rFonts w:ascii="宋体"/>
        </w:rPr>
      </w:pPr>
    </w:p>
    <w:p w14:paraId="576D439E">
      <w:pPr>
        <w:spacing w:line="248" w:lineRule="auto"/>
        <w:jc w:val="left"/>
        <w:rPr>
          <w:rFonts w:ascii="宋体"/>
        </w:rPr>
      </w:pPr>
    </w:p>
    <w:p w14:paraId="5A1E6916">
      <w:pPr>
        <w:spacing w:line="248" w:lineRule="auto"/>
        <w:jc w:val="left"/>
        <w:rPr>
          <w:rFonts w:ascii="宋体"/>
        </w:rPr>
      </w:pPr>
    </w:p>
    <w:p w14:paraId="39704BFD">
      <w:pPr>
        <w:spacing w:line="248" w:lineRule="auto"/>
        <w:jc w:val="left"/>
        <w:rPr>
          <w:rFonts w:ascii="宋体"/>
        </w:rPr>
      </w:pPr>
    </w:p>
    <w:p w14:paraId="4BF83942">
      <w:pPr>
        <w:spacing w:line="248" w:lineRule="auto"/>
        <w:jc w:val="left"/>
        <w:rPr>
          <w:rFonts w:ascii="宋体"/>
        </w:rPr>
      </w:pPr>
    </w:p>
    <w:p w14:paraId="2EDF5E25">
      <w:pPr>
        <w:spacing w:line="248" w:lineRule="auto"/>
        <w:jc w:val="left"/>
        <w:rPr>
          <w:rFonts w:ascii="宋体"/>
        </w:rPr>
      </w:pPr>
    </w:p>
    <w:p w14:paraId="6A090E17">
      <w:pPr>
        <w:spacing w:line="248" w:lineRule="auto"/>
        <w:rPr>
          <w:rFonts w:ascii="宋体"/>
        </w:rPr>
      </w:pPr>
    </w:p>
    <w:p w14:paraId="12EEC61A">
      <w:pPr>
        <w:spacing w:line="248" w:lineRule="auto"/>
        <w:jc w:val="left"/>
        <w:rPr>
          <w:rFonts w:ascii="宋体"/>
        </w:rPr>
      </w:pPr>
    </w:p>
    <w:p w14:paraId="75C857DB">
      <w:pPr>
        <w:spacing w:line="248" w:lineRule="auto"/>
        <w:jc w:val="left"/>
        <w:rPr>
          <w:rFonts w:ascii="宋体"/>
        </w:rPr>
      </w:pPr>
    </w:p>
    <w:p w14:paraId="7C49138F">
      <w:pPr>
        <w:spacing w:line="248" w:lineRule="auto"/>
        <w:jc w:val="left"/>
        <w:rPr>
          <w:rFonts w:ascii="宋体"/>
        </w:rPr>
      </w:pPr>
    </w:p>
    <w:p w14:paraId="74696ACC">
      <w:pPr>
        <w:spacing w:line="248" w:lineRule="auto"/>
        <w:jc w:val="left"/>
        <w:rPr>
          <w:rFonts w:ascii="宋体"/>
        </w:rPr>
      </w:pPr>
    </w:p>
    <w:p w14:paraId="1614D532">
      <w:pPr>
        <w:spacing w:line="248" w:lineRule="auto"/>
        <w:jc w:val="left"/>
        <w:rPr>
          <w:rFonts w:ascii="宋体"/>
        </w:rPr>
      </w:pPr>
    </w:p>
    <w:p w14:paraId="3C90DB50">
      <w:pPr>
        <w:spacing w:line="248" w:lineRule="auto"/>
        <w:jc w:val="left"/>
        <w:rPr>
          <w:rFonts w:ascii="宋体"/>
        </w:rPr>
      </w:pPr>
    </w:p>
    <w:p w14:paraId="361E0111">
      <w:pPr>
        <w:spacing w:line="248" w:lineRule="auto"/>
        <w:rPr>
          <w:rFonts w:ascii="宋体"/>
        </w:rPr>
      </w:pPr>
    </w:p>
    <w:p w14:paraId="786B9CC8">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主管部门：扶风县自然资源局</w:t>
      </w:r>
    </w:p>
    <w:p w14:paraId="7DD407C1">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项目单位：扶风县自然资源局</w:t>
      </w:r>
    </w:p>
    <w:p w14:paraId="530F014E">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44162110">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3AEC9879">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28"/>
          <w:szCs w:val="28"/>
        </w:rPr>
      </w:sdtEndPr>
      <w:sdtContent>
        <w:p w14:paraId="27A27473">
          <w:pPr>
            <w:jc w:val="center"/>
            <w:rPr>
              <w:rFonts w:ascii="Times New Roman" w:hAnsi="Times New Roman" w:eastAsia="宋体" w:cs="Times New Roman"/>
              <w:b/>
              <w:kern w:val="2"/>
              <w:sz w:val="28"/>
              <w:szCs w:val="28"/>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rPr>
              <w:sz w:val="28"/>
              <w:szCs w:val="28"/>
            </w:rPr>
            <w:fldChar w:fldCharType="begin"/>
          </w:r>
          <w:r>
            <w:rPr>
              <w:sz w:val="28"/>
              <w:szCs w:val="28"/>
            </w:rPr>
            <w:instrText xml:space="preserve">TOC \o "1-2" \h \u</w:instrText>
          </w:r>
          <w:r>
            <w:rPr>
              <w:sz w:val="28"/>
              <w:szCs w:val="28"/>
            </w:rPr>
            <w:fldChar w:fldCharType="separate"/>
          </w:r>
        </w:p>
        <w:p w14:paraId="47BDBB6A">
          <w:pPr>
            <w:pStyle w:val="10"/>
            <w:tabs>
              <w:tab w:val="right" w:leader="dot" w:pos="8250"/>
            </w:tabs>
            <w:rPr>
              <w:sz w:val="28"/>
              <w:szCs w:val="24"/>
            </w:rPr>
          </w:pPr>
          <w:r>
            <w:rPr>
              <w:sz w:val="28"/>
              <w:szCs w:val="40"/>
            </w:rPr>
            <w:fldChar w:fldCharType="begin"/>
          </w:r>
          <w:r>
            <w:rPr>
              <w:sz w:val="28"/>
              <w:szCs w:val="40"/>
            </w:rPr>
            <w:instrText xml:space="preserve"> HYPERLINK \l _Toc5359 </w:instrText>
          </w:r>
          <w:r>
            <w:rPr>
              <w:sz w:val="28"/>
              <w:szCs w:val="40"/>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_Toc5359 \h </w:instrText>
          </w:r>
          <w:r>
            <w:rPr>
              <w:sz w:val="28"/>
              <w:szCs w:val="24"/>
            </w:rPr>
            <w:fldChar w:fldCharType="separate"/>
          </w:r>
          <w:r>
            <w:rPr>
              <w:sz w:val="28"/>
              <w:szCs w:val="24"/>
            </w:rPr>
            <w:t>1</w:t>
          </w:r>
          <w:r>
            <w:rPr>
              <w:sz w:val="28"/>
              <w:szCs w:val="24"/>
            </w:rPr>
            <w:fldChar w:fldCharType="end"/>
          </w:r>
          <w:r>
            <w:rPr>
              <w:sz w:val="28"/>
              <w:szCs w:val="40"/>
            </w:rPr>
            <w:fldChar w:fldCharType="end"/>
          </w:r>
        </w:p>
        <w:p w14:paraId="4A13DBD5">
          <w:pPr>
            <w:pStyle w:val="10"/>
            <w:tabs>
              <w:tab w:val="right" w:leader="dot" w:pos="8250"/>
            </w:tabs>
            <w:rPr>
              <w:sz w:val="28"/>
              <w:szCs w:val="24"/>
            </w:rPr>
          </w:pPr>
          <w:r>
            <w:rPr>
              <w:sz w:val="28"/>
              <w:szCs w:val="40"/>
            </w:rPr>
            <w:fldChar w:fldCharType="begin"/>
          </w:r>
          <w:r>
            <w:rPr>
              <w:sz w:val="28"/>
              <w:szCs w:val="40"/>
            </w:rPr>
            <w:instrText xml:space="preserve"> HYPERLINK \l _Toc14258 </w:instrText>
          </w:r>
          <w:r>
            <w:rPr>
              <w:sz w:val="28"/>
              <w:szCs w:val="40"/>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_Toc14258 \h </w:instrText>
          </w:r>
          <w:r>
            <w:rPr>
              <w:sz w:val="28"/>
              <w:szCs w:val="24"/>
            </w:rPr>
            <w:fldChar w:fldCharType="separate"/>
          </w:r>
          <w:r>
            <w:rPr>
              <w:sz w:val="28"/>
              <w:szCs w:val="24"/>
            </w:rPr>
            <w:t>1</w:t>
          </w:r>
          <w:r>
            <w:rPr>
              <w:sz w:val="28"/>
              <w:szCs w:val="24"/>
            </w:rPr>
            <w:fldChar w:fldCharType="end"/>
          </w:r>
          <w:r>
            <w:rPr>
              <w:sz w:val="28"/>
              <w:szCs w:val="40"/>
            </w:rPr>
            <w:fldChar w:fldCharType="end"/>
          </w:r>
        </w:p>
        <w:p w14:paraId="51DCF72D">
          <w:pPr>
            <w:pStyle w:val="11"/>
            <w:tabs>
              <w:tab w:val="right" w:leader="dot" w:pos="8250"/>
            </w:tabs>
            <w:rPr>
              <w:sz w:val="28"/>
              <w:szCs w:val="24"/>
            </w:rPr>
          </w:pPr>
          <w:r>
            <w:rPr>
              <w:sz w:val="28"/>
              <w:szCs w:val="40"/>
            </w:rPr>
            <w:fldChar w:fldCharType="begin"/>
          </w:r>
          <w:r>
            <w:rPr>
              <w:sz w:val="28"/>
              <w:szCs w:val="40"/>
            </w:rPr>
            <w:instrText xml:space="preserve"> HYPERLINK \l _Toc2465 </w:instrText>
          </w:r>
          <w:r>
            <w:rPr>
              <w:sz w:val="28"/>
              <w:szCs w:val="40"/>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_Toc2465 \h </w:instrText>
          </w:r>
          <w:r>
            <w:rPr>
              <w:sz w:val="28"/>
              <w:szCs w:val="24"/>
            </w:rPr>
            <w:fldChar w:fldCharType="separate"/>
          </w:r>
          <w:r>
            <w:rPr>
              <w:sz w:val="28"/>
              <w:szCs w:val="24"/>
            </w:rPr>
            <w:t>1</w:t>
          </w:r>
          <w:r>
            <w:rPr>
              <w:sz w:val="28"/>
              <w:szCs w:val="24"/>
            </w:rPr>
            <w:fldChar w:fldCharType="end"/>
          </w:r>
          <w:r>
            <w:rPr>
              <w:sz w:val="28"/>
              <w:szCs w:val="40"/>
            </w:rPr>
            <w:fldChar w:fldCharType="end"/>
          </w:r>
        </w:p>
        <w:p w14:paraId="701DBE01">
          <w:pPr>
            <w:pStyle w:val="11"/>
            <w:tabs>
              <w:tab w:val="right" w:leader="dot" w:pos="8250"/>
            </w:tabs>
            <w:rPr>
              <w:sz w:val="28"/>
              <w:szCs w:val="24"/>
            </w:rPr>
          </w:pPr>
          <w:r>
            <w:rPr>
              <w:sz w:val="28"/>
              <w:szCs w:val="40"/>
            </w:rPr>
            <w:fldChar w:fldCharType="begin"/>
          </w:r>
          <w:r>
            <w:rPr>
              <w:sz w:val="28"/>
              <w:szCs w:val="40"/>
            </w:rPr>
            <w:instrText xml:space="preserve"> HYPERLINK \l _Toc15008 </w:instrText>
          </w:r>
          <w:r>
            <w:rPr>
              <w:sz w:val="28"/>
              <w:szCs w:val="40"/>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_Toc15008 \h </w:instrText>
          </w:r>
          <w:r>
            <w:rPr>
              <w:sz w:val="28"/>
              <w:szCs w:val="24"/>
            </w:rPr>
            <w:fldChar w:fldCharType="separate"/>
          </w:r>
          <w:r>
            <w:rPr>
              <w:sz w:val="28"/>
              <w:szCs w:val="24"/>
            </w:rPr>
            <w:t>2</w:t>
          </w:r>
          <w:r>
            <w:rPr>
              <w:sz w:val="28"/>
              <w:szCs w:val="24"/>
            </w:rPr>
            <w:fldChar w:fldCharType="end"/>
          </w:r>
          <w:r>
            <w:rPr>
              <w:sz w:val="28"/>
              <w:szCs w:val="40"/>
            </w:rPr>
            <w:fldChar w:fldCharType="end"/>
          </w:r>
        </w:p>
        <w:p w14:paraId="1A3C74E5">
          <w:pPr>
            <w:pStyle w:val="10"/>
            <w:tabs>
              <w:tab w:val="right" w:leader="dot" w:pos="8250"/>
            </w:tabs>
            <w:rPr>
              <w:sz w:val="28"/>
              <w:szCs w:val="24"/>
            </w:rPr>
          </w:pPr>
          <w:r>
            <w:rPr>
              <w:sz w:val="28"/>
              <w:szCs w:val="40"/>
            </w:rPr>
            <w:fldChar w:fldCharType="begin"/>
          </w:r>
          <w:r>
            <w:rPr>
              <w:sz w:val="28"/>
              <w:szCs w:val="40"/>
            </w:rPr>
            <w:instrText xml:space="preserve"> HYPERLINK \l _Toc29422 </w:instrText>
          </w:r>
          <w:r>
            <w:rPr>
              <w:sz w:val="28"/>
              <w:szCs w:val="40"/>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_Toc29422 \h </w:instrText>
          </w:r>
          <w:r>
            <w:rPr>
              <w:sz w:val="28"/>
              <w:szCs w:val="24"/>
            </w:rPr>
            <w:fldChar w:fldCharType="separate"/>
          </w:r>
          <w:r>
            <w:rPr>
              <w:sz w:val="28"/>
              <w:szCs w:val="24"/>
            </w:rPr>
            <w:t>3</w:t>
          </w:r>
          <w:r>
            <w:rPr>
              <w:sz w:val="28"/>
              <w:szCs w:val="24"/>
            </w:rPr>
            <w:fldChar w:fldCharType="end"/>
          </w:r>
          <w:r>
            <w:rPr>
              <w:sz w:val="28"/>
              <w:szCs w:val="40"/>
            </w:rPr>
            <w:fldChar w:fldCharType="end"/>
          </w:r>
        </w:p>
        <w:p w14:paraId="52E1AB59">
          <w:pPr>
            <w:pStyle w:val="11"/>
            <w:tabs>
              <w:tab w:val="right" w:leader="dot" w:pos="8250"/>
            </w:tabs>
            <w:rPr>
              <w:sz w:val="28"/>
              <w:szCs w:val="24"/>
            </w:rPr>
          </w:pPr>
          <w:r>
            <w:rPr>
              <w:sz w:val="28"/>
              <w:szCs w:val="40"/>
            </w:rPr>
            <w:fldChar w:fldCharType="begin"/>
          </w:r>
          <w:r>
            <w:rPr>
              <w:sz w:val="28"/>
              <w:szCs w:val="40"/>
            </w:rPr>
            <w:instrText xml:space="preserve"> HYPERLINK \l _Toc26897 </w:instrText>
          </w:r>
          <w:r>
            <w:rPr>
              <w:sz w:val="28"/>
              <w:szCs w:val="40"/>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_Toc26897 \h </w:instrText>
          </w:r>
          <w:r>
            <w:rPr>
              <w:sz w:val="28"/>
              <w:szCs w:val="24"/>
            </w:rPr>
            <w:fldChar w:fldCharType="separate"/>
          </w:r>
          <w:r>
            <w:rPr>
              <w:sz w:val="28"/>
              <w:szCs w:val="24"/>
            </w:rPr>
            <w:t>3</w:t>
          </w:r>
          <w:r>
            <w:rPr>
              <w:sz w:val="28"/>
              <w:szCs w:val="24"/>
            </w:rPr>
            <w:fldChar w:fldCharType="end"/>
          </w:r>
          <w:r>
            <w:rPr>
              <w:sz w:val="28"/>
              <w:szCs w:val="40"/>
            </w:rPr>
            <w:fldChar w:fldCharType="end"/>
          </w:r>
        </w:p>
        <w:p w14:paraId="40544DE7">
          <w:pPr>
            <w:pStyle w:val="11"/>
            <w:tabs>
              <w:tab w:val="right" w:leader="dot" w:pos="8250"/>
            </w:tabs>
            <w:rPr>
              <w:sz w:val="28"/>
              <w:szCs w:val="24"/>
            </w:rPr>
          </w:pPr>
          <w:r>
            <w:rPr>
              <w:sz w:val="28"/>
              <w:szCs w:val="40"/>
            </w:rPr>
            <w:fldChar w:fldCharType="begin"/>
          </w:r>
          <w:r>
            <w:rPr>
              <w:sz w:val="28"/>
              <w:szCs w:val="40"/>
            </w:rPr>
            <w:instrText xml:space="preserve"> HYPERLINK \l _Toc26289 </w:instrText>
          </w:r>
          <w:r>
            <w:rPr>
              <w:sz w:val="28"/>
              <w:szCs w:val="40"/>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_Toc26289 \h </w:instrText>
          </w:r>
          <w:r>
            <w:rPr>
              <w:sz w:val="28"/>
              <w:szCs w:val="24"/>
            </w:rPr>
            <w:fldChar w:fldCharType="separate"/>
          </w:r>
          <w:r>
            <w:rPr>
              <w:sz w:val="28"/>
              <w:szCs w:val="24"/>
            </w:rPr>
            <w:t>4</w:t>
          </w:r>
          <w:r>
            <w:rPr>
              <w:sz w:val="28"/>
              <w:szCs w:val="24"/>
            </w:rPr>
            <w:fldChar w:fldCharType="end"/>
          </w:r>
          <w:r>
            <w:rPr>
              <w:sz w:val="28"/>
              <w:szCs w:val="40"/>
            </w:rPr>
            <w:fldChar w:fldCharType="end"/>
          </w:r>
        </w:p>
        <w:p w14:paraId="41F48F84">
          <w:pPr>
            <w:pStyle w:val="11"/>
            <w:tabs>
              <w:tab w:val="right" w:leader="dot" w:pos="8250"/>
            </w:tabs>
            <w:rPr>
              <w:sz w:val="28"/>
              <w:szCs w:val="24"/>
            </w:rPr>
          </w:pPr>
          <w:r>
            <w:rPr>
              <w:sz w:val="28"/>
              <w:szCs w:val="40"/>
            </w:rPr>
            <w:fldChar w:fldCharType="begin"/>
          </w:r>
          <w:r>
            <w:rPr>
              <w:sz w:val="28"/>
              <w:szCs w:val="40"/>
            </w:rPr>
            <w:instrText xml:space="preserve"> HYPERLINK \l _Toc22057 </w:instrText>
          </w:r>
          <w:r>
            <w:rPr>
              <w:sz w:val="28"/>
              <w:szCs w:val="40"/>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_Toc22057 \h </w:instrText>
          </w:r>
          <w:r>
            <w:rPr>
              <w:sz w:val="28"/>
              <w:szCs w:val="24"/>
            </w:rPr>
            <w:fldChar w:fldCharType="separate"/>
          </w:r>
          <w:r>
            <w:rPr>
              <w:sz w:val="28"/>
              <w:szCs w:val="24"/>
            </w:rPr>
            <w:t>7</w:t>
          </w:r>
          <w:r>
            <w:rPr>
              <w:sz w:val="28"/>
              <w:szCs w:val="24"/>
            </w:rPr>
            <w:fldChar w:fldCharType="end"/>
          </w:r>
          <w:r>
            <w:rPr>
              <w:sz w:val="28"/>
              <w:szCs w:val="40"/>
            </w:rPr>
            <w:fldChar w:fldCharType="end"/>
          </w:r>
        </w:p>
        <w:p w14:paraId="1DF0D42A">
          <w:pPr>
            <w:pStyle w:val="10"/>
            <w:tabs>
              <w:tab w:val="right" w:leader="dot" w:pos="8250"/>
            </w:tabs>
            <w:rPr>
              <w:sz w:val="28"/>
              <w:szCs w:val="24"/>
            </w:rPr>
          </w:pPr>
          <w:r>
            <w:rPr>
              <w:sz w:val="28"/>
              <w:szCs w:val="40"/>
            </w:rPr>
            <w:fldChar w:fldCharType="begin"/>
          </w:r>
          <w:r>
            <w:rPr>
              <w:sz w:val="28"/>
              <w:szCs w:val="40"/>
            </w:rPr>
            <w:instrText xml:space="preserve"> HYPERLINK \l _Toc30051 </w:instrText>
          </w:r>
          <w:r>
            <w:rPr>
              <w:sz w:val="28"/>
              <w:szCs w:val="40"/>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_Toc30051 \h </w:instrText>
          </w:r>
          <w:r>
            <w:rPr>
              <w:sz w:val="28"/>
              <w:szCs w:val="24"/>
            </w:rPr>
            <w:fldChar w:fldCharType="separate"/>
          </w:r>
          <w:r>
            <w:rPr>
              <w:sz w:val="28"/>
              <w:szCs w:val="24"/>
            </w:rPr>
            <w:t>9</w:t>
          </w:r>
          <w:r>
            <w:rPr>
              <w:sz w:val="28"/>
              <w:szCs w:val="24"/>
            </w:rPr>
            <w:fldChar w:fldCharType="end"/>
          </w:r>
          <w:r>
            <w:rPr>
              <w:sz w:val="28"/>
              <w:szCs w:val="40"/>
            </w:rPr>
            <w:fldChar w:fldCharType="end"/>
          </w:r>
        </w:p>
        <w:p w14:paraId="51CDA282">
          <w:pPr>
            <w:pStyle w:val="10"/>
            <w:tabs>
              <w:tab w:val="right" w:leader="dot" w:pos="8250"/>
            </w:tabs>
            <w:rPr>
              <w:sz w:val="28"/>
              <w:szCs w:val="24"/>
            </w:rPr>
          </w:pPr>
          <w:r>
            <w:rPr>
              <w:sz w:val="28"/>
              <w:szCs w:val="40"/>
            </w:rPr>
            <w:fldChar w:fldCharType="begin"/>
          </w:r>
          <w:r>
            <w:rPr>
              <w:sz w:val="28"/>
              <w:szCs w:val="40"/>
            </w:rPr>
            <w:instrText xml:space="preserve"> HYPERLINK \l _Toc6847 </w:instrText>
          </w:r>
          <w:r>
            <w:rPr>
              <w:sz w:val="28"/>
              <w:szCs w:val="40"/>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_Toc6847 \h </w:instrText>
          </w:r>
          <w:r>
            <w:rPr>
              <w:sz w:val="28"/>
              <w:szCs w:val="24"/>
            </w:rPr>
            <w:fldChar w:fldCharType="separate"/>
          </w:r>
          <w:r>
            <w:rPr>
              <w:sz w:val="28"/>
              <w:szCs w:val="24"/>
            </w:rPr>
            <w:t>10</w:t>
          </w:r>
          <w:r>
            <w:rPr>
              <w:sz w:val="28"/>
              <w:szCs w:val="24"/>
            </w:rPr>
            <w:fldChar w:fldCharType="end"/>
          </w:r>
          <w:r>
            <w:rPr>
              <w:sz w:val="28"/>
              <w:szCs w:val="40"/>
            </w:rPr>
            <w:fldChar w:fldCharType="end"/>
          </w:r>
        </w:p>
        <w:p w14:paraId="63C80208">
          <w:pPr>
            <w:pStyle w:val="11"/>
            <w:tabs>
              <w:tab w:val="right" w:leader="dot" w:pos="8250"/>
            </w:tabs>
            <w:rPr>
              <w:sz w:val="28"/>
              <w:szCs w:val="24"/>
            </w:rPr>
          </w:pPr>
          <w:r>
            <w:rPr>
              <w:sz w:val="28"/>
              <w:szCs w:val="40"/>
            </w:rPr>
            <w:fldChar w:fldCharType="begin"/>
          </w:r>
          <w:r>
            <w:rPr>
              <w:sz w:val="28"/>
              <w:szCs w:val="40"/>
            </w:rPr>
            <w:instrText xml:space="preserve"> HYPERLINK \l _Toc32191 </w:instrText>
          </w:r>
          <w:r>
            <w:rPr>
              <w:sz w:val="28"/>
              <w:szCs w:val="40"/>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_Toc32191 \h </w:instrText>
          </w:r>
          <w:r>
            <w:rPr>
              <w:sz w:val="28"/>
              <w:szCs w:val="24"/>
            </w:rPr>
            <w:fldChar w:fldCharType="separate"/>
          </w:r>
          <w:r>
            <w:rPr>
              <w:sz w:val="28"/>
              <w:szCs w:val="24"/>
            </w:rPr>
            <w:t>10</w:t>
          </w:r>
          <w:r>
            <w:rPr>
              <w:sz w:val="28"/>
              <w:szCs w:val="24"/>
            </w:rPr>
            <w:fldChar w:fldCharType="end"/>
          </w:r>
          <w:r>
            <w:rPr>
              <w:sz w:val="28"/>
              <w:szCs w:val="40"/>
            </w:rPr>
            <w:fldChar w:fldCharType="end"/>
          </w:r>
        </w:p>
        <w:p w14:paraId="44E1DE68">
          <w:pPr>
            <w:pStyle w:val="11"/>
            <w:tabs>
              <w:tab w:val="right" w:leader="dot" w:pos="8250"/>
            </w:tabs>
            <w:rPr>
              <w:sz w:val="28"/>
              <w:szCs w:val="24"/>
            </w:rPr>
          </w:pPr>
          <w:r>
            <w:rPr>
              <w:sz w:val="28"/>
              <w:szCs w:val="40"/>
            </w:rPr>
            <w:fldChar w:fldCharType="begin"/>
          </w:r>
          <w:r>
            <w:rPr>
              <w:sz w:val="28"/>
              <w:szCs w:val="40"/>
            </w:rPr>
            <w:instrText xml:space="preserve"> HYPERLINK \l _Toc1779 </w:instrText>
          </w:r>
          <w:r>
            <w:rPr>
              <w:sz w:val="28"/>
              <w:szCs w:val="40"/>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_Toc1779 \h </w:instrText>
          </w:r>
          <w:r>
            <w:rPr>
              <w:sz w:val="28"/>
              <w:szCs w:val="24"/>
            </w:rPr>
            <w:fldChar w:fldCharType="separate"/>
          </w:r>
          <w:r>
            <w:rPr>
              <w:sz w:val="28"/>
              <w:szCs w:val="24"/>
            </w:rPr>
            <w:t>12</w:t>
          </w:r>
          <w:r>
            <w:rPr>
              <w:sz w:val="28"/>
              <w:szCs w:val="24"/>
            </w:rPr>
            <w:fldChar w:fldCharType="end"/>
          </w:r>
          <w:r>
            <w:rPr>
              <w:sz w:val="28"/>
              <w:szCs w:val="40"/>
            </w:rPr>
            <w:fldChar w:fldCharType="end"/>
          </w:r>
        </w:p>
        <w:p w14:paraId="57269C80">
          <w:pPr>
            <w:pStyle w:val="11"/>
            <w:tabs>
              <w:tab w:val="right" w:leader="dot" w:pos="8250"/>
            </w:tabs>
            <w:rPr>
              <w:sz w:val="28"/>
              <w:szCs w:val="24"/>
            </w:rPr>
          </w:pPr>
          <w:r>
            <w:rPr>
              <w:sz w:val="28"/>
              <w:szCs w:val="40"/>
            </w:rPr>
            <w:fldChar w:fldCharType="begin"/>
          </w:r>
          <w:r>
            <w:rPr>
              <w:sz w:val="28"/>
              <w:szCs w:val="40"/>
            </w:rPr>
            <w:instrText xml:space="preserve"> HYPERLINK \l _Toc4715 </w:instrText>
          </w:r>
          <w:r>
            <w:rPr>
              <w:sz w:val="28"/>
              <w:szCs w:val="40"/>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_Toc4715 \h </w:instrText>
          </w:r>
          <w:r>
            <w:rPr>
              <w:sz w:val="28"/>
              <w:szCs w:val="24"/>
            </w:rPr>
            <w:fldChar w:fldCharType="separate"/>
          </w:r>
          <w:r>
            <w:rPr>
              <w:sz w:val="28"/>
              <w:szCs w:val="24"/>
            </w:rPr>
            <w:t>13</w:t>
          </w:r>
          <w:r>
            <w:rPr>
              <w:sz w:val="28"/>
              <w:szCs w:val="24"/>
            </w:rPr>
            <w:fldChar w:fldCharType="end"/>
          </w:r>
          <w:r>
            <w:rPr>
              <w:sz w:val="28"/>
              <w:szCs w:val="40"/>
            </w:rPr>
            <w:fldChar w:fldCharType="end"/>
          </w:r>
        </w:p>
        <w:p w14:paraId="77EDD9F0">
          <w:pPr>
            <w:pStyle w:val="11"/>
            <w:tabs>
              <w:tab w:val="right" w:leader="dot" w:pos="8250"/>
            </w:tabs>
            <w:rPr>
              <w:sz w:val="28"/>
              <w:szCs w:val="24"/>
            </w:rPr>
          </w:pPr>
          <w:r>
            <w:rPr>
              <w:sz w:val="28"/>
              <w:szCs w:val="40"/>
            </w:rPr>
            <w:fldChar w:fldCharType="begin"/>
          </w:r>
          <w:r>
            <w:rPr>
              <w:sz w:val="28"/>
              <w:szCs w:val="40"/>
            </w:rPr>
            <w:instrText xml:space="preserve"> HYPERLINK \l _Toc437 </w:instrText>
          </w:r>
          <w:r>
            <w:rPr>
              <w:sz w:val="28"/>
              <w:szCs w:val="40"/>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_Toc437 \h </w:instrText>
          </w:r>
          <w:r>
            <w:rPr>
              <w:sz w:val="28"/>
              <w:szCs w:val="24"/>
            </w:rPr>
            <w:fldChar w:fldCharType="separate"/>
          </w:r>
          <w:r>
            <w:rPr>
              <w:sz w:val="28"/>
              <w:szCs w:val="24"/>
            </w:rPr>
            <w:t>15</w:t>
          </w:r>
          <w:r>
            <w:rPr>
              <w:sz w:val="28"/>
              <w:szCs w:val="24"/>
            </w:rPr>
            <w:fldChar w:fldCharType="end"/>
          </w:r>
          <w:r>
            <w:rPr>
              <w:sz w:val="28"/>
              <w:szCs w:val="40"/>
            </w:rPr>
            <w:fldChar w:fldCharType="end"/>
          </w:r>
        </w:p>
        <w:p w14:paraId="7A0C77B9">
          <w:pPr>
            <w:pStyle w:val="10"/>
            <w:tabs>
              <w:tab w:val="right" w:leader="dot" w:pos="8250"/>
            </w:tabs>
            <w:rPr>
              <w:sz w:val="28"/>
              <w:szCs w:val="24"/>
            </w:rPr>
          </w:pPr>
          <w:r>
            <w:rPr>
              <w:sz w:val="28"/>
              <w:szCs w:val="40"/>
            </w:rPr>
            <w:fldChar w:fldCharType="begin"/>
          </w:r>
          <w:r>
            <w:rPr>
              <w:sz w:val="28"/>
              <w:szCs w:val="40"/>
            </w:rPr>
            <w:instrText xml:space="preserve"> HYPERLINK \l _Toc10740 </w:instrText>
          </w:r>
          <w:r>
            <w:rPr>
              <w:sz w:val="28"/>
              <w:szCs w:val="40"/>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_Toc10740 \h </w:instrText>
          </w:r>
          <w:r>
            <w:rPr>
              <w:sz w:val="28"/>
              <w:szCs w:val="24"/>
            </w:rPr>
            <w:fldChar w:fldCharType="separate"/>
          </w:r>
          <w:r>
            <w:rPr>
              <w:sz w:val="28"/>
              <w:szCs w:val="24"/>
            </w:rPr>
            <w:t>15</w:t>
          </w:r>
          <w:r>
            <w:rPr>
              <w:sz w:val="28"/>
              <w:szCs w:val="24"/>
            </w:rPr>
            <w:fldChar w:fldCharType="end"/>
          </w:r>
          <w:r>
            <w:rPr>
              <w:sz w:val="28"/>
              <w:szCs w:val="40"/>
            </w:rPr>
            <w:fldChar w:fldCharType="end"/>
          </w:r>
        </w:p>
        <w:p w14:paraId="19E4B635">
          <w:pPr>
            <w:pStyle w:val="11"/>
            <w:tabs>
              <w:tab w:val="right" w:leader="dot" w:pos="8250"/>
            </w:tabs>
            <w:rPr>
              <w:sz w:val="28"/>
              <w:szCs w:val="24"/>
            </w:rPr>
          </w:pPr>
          <w:r>
            <w:rPr>
              <w:sz w:val="28"/>
              <w:szCs w:val="40"/>
            </w:rPr>
            <w:fldChar w:fldCharType="begin"/>
          </w:r>
          <w:r>
            <w:rPr>
              <w:sz w:val="28"/>
              <w:szCs w:val="40"/>
            </w:rPr>
            <w:instrText xml:space="preserve"> HYPERLINK \l _Toc3407 </w:instrText>
          </w:r>
          <w:r>
            <w:rPr>
              <w:sz w:val="28"/>
              <w:szCs w:val="40"/>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一</w:t>
          </w:r>
          <w:r>
            <w:rPr>
              <w:rFonts w:hint="eastAsia" w:ascii="楷体_GB2312" w:hAnsi="楷体_GB2312" w:eastAsia="楷体_GB2312" w:cs="楷体_GB2312"/>
              <w:bCs/>
              <w:kern w:val="0"/>
              <w:sz w:val="28"/>
              <w:szCs w:val="44"/>
              <w:lang w:eastAsia="zh-CN"/>
            </w:rPr>
            <w:t>）项目</w:t>
          </w:r>
          <w:r>
            <w:rPr>
              <w:rFonts w:hint="eastAsia" w:ascii="楷体_GB2312" w:hAnsi="楷体_GB2312" w:eastAsia="楷体_GB2312" w:cs="楷体_GB2312"/>
              <w:bCs/>
              <w:kern w:val="0"/>
              <w:sz w:val="28"/>
              <w:szCs w:val="44"/>
              <w:lang w:val="en-US" w:eastAsia="zh-CN"/>
            </w:rPr>
            <w:t>单位未提供</w:t>
          </w:r>
          <w:r>
            <w:rPr>
              <w:rFonts w:hint="eastAsia" w:ascii="楷体_GB2312" w:hAnsi="楷体_GB2312" w:eastAsia="楷体_GB2312" w:cs="楷体_GB2312"/>
              <w:bCs/>
              <w:kern w:val="0"/>
              <w:sz w:val="28"/>
              <w:szCs w:val="44"/>
              <w:lang w:eastAsia="zh-CN"/>
            </w:rPr>
            <w:t>绩效目标申报</w:t>
          </w:r>
          <w:r>
            <w:rPr>
              <w:rFonts w:hint="eastAsia" w:ascii="楷体_GB2312" w:hAnsi="楷体_GB2312" w:eastAsia="楷体_GB2312" w:cs="楷体_GB2312"/>
              <w:bCs/>
              <w:kern w:val="0"/>
              <w:sz w:val="28"/>
              <w:szCs w:val="44"/>
              <w:lang w:val="en-US" w:eastAsia="zh-CN"/>
            </w:rPr>
            <w:t>表</w:t>
          </w:r>
          <w:r>
            <w:rPr>
              <w:sz w:val="28"/>
              <w:szCs w:val="24"/>
            </w:rPr>
            <w:tab/>
          </w:r>
          <w:r>
            <w:rPr>
              <w:sz w:val="28"/>
              <w:szCs w:val="24"/>
            </w:rPr>
            <w:fldChar w:fldCharType="begin"/>
          </w:r>
          <w:r>
            <w:rPr>
              <w:sz w:val="28"/>
              <w:szCs w:val="24"/>
            </w:rPr>
            <w:instrText xml:space="preserve"> PAGEREF _Toc3407 \h </w:instrText>
          </w:r>
          <w:r>
            <w:rPr>
              <w:sz w:val="28"/>
              <w:szCs w:val="24"/>
            </w:rPr>
            <w:fldChar w:fldCharType="separate"/>
          </w:r>
          <w:r>
            <w:rPr>
              <w:sz w:val="28"/>
              <w:szCs w:val="24"/>
            </w:rPr>
            <w:t>15</w:t>
          </w:r>
          <w:r>
            <w:rPr>
              <w:sz w:val="28"/>
              <w:szCs w:val="24"/>
            </w:rPr>
            <w:fldChar w:fldCharType="end"/>
          </w:r>
          <w:r>
            <w:rPr>
              <w:sz w:val="28"/>
              <w:szCs w:val="40"/>
            </w:rPr>
            <w:fldChar w:fldCharType="end"/>
          </w:r>
        </w:p>
        <w:p w14:paraId="460F01C9">
          <w:pPr>
            <w:pStyle w:val="11"/>
            <w:tabs>
              <w:tab w:val="right" w:leader="dot" w:pos="8250"/>
            </w:tabs>
            <w:rPr>
              <w:sz w:val="28"/>
              <w:szCs w:val="24"/>
            </w:rPr>
          </w:pPr>
          <w:r>
            <w:rPr>
              <w:sz w:val="28"/>
              <w:szCs w:val="40"/>
            </w:rPr>
            <w:fldChar w:fldCharType="begin"/>
          </w:r>
          <w:r>
            <w:rPr>
              <w:sz w:val="28"/>
              <w:szCs w:val="40"/>
            </w:rPr>
            <w:instrText xml:space="preserve"> HYPERLINK \l _Toc21410 </w:instrText>
          </w:r>
          <w:r>
            <w:rPr>
              <w:sz w:val="28"/>
              <w:szCs w:val="40"/>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二</w:t>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rPr>
            <w:t>管理制度不健全，绩效管理有待加强</w:t>
          </w:r>
          <w:r>
            <w:rPr>
              <w:sz w:val="28"/>
              <w:szCs w:val="24"/>
            </w:rPr>
            <w:tab/>
          </w:r>
          <w:r>
            <w:rPr>
              <w:sz w:val="28"/>
              <w:szCs w:val="24"/>
            </w:rPr>
            <w:fldChar w:fldCharType="begin"/>
          </w:r>
          <w:r>
            <w:rPr>
              <w:sz w:val="28"/>
              <w:szCs w:val="24"/>
            </w:rPr>
            <w:instrText xml:space="preserve"> PAGEREF _Toc21410 \h </w:instrText>
          </w:r>
          <w:r>
            <w:rPr>
              <w:sz w:val="28"/>
              <w:szCs w:val="24"/>
            </w:rPr>
            <w:fldChar w:fldCharType="separate"/>
          </w:r>
          <w:r>
            <w:rPr>
              <w:sz w:val="28"/>
              <w:szCs w:val="24"/>
            </w:rPr>
            <w:t>15</w:t>
          </w:r>
          <w:r>
            <w:rPr>
              <w:sz w:val="28"/>
              <w:szCs w:val="24"/>
            </w:rPr>
            <w:fldChar w:fldCharType="end"/>
          </w:r>
          <w:r>
            <w:rPr>
              <w:sz w:val="28"/>
              <w:szCs w:val="40"/>
            </w:rPr>
            <w:fldChar w:fldCharType="end"/>
          </w:r>
        </w:p>
        <w:p w14:paraId="59A7BC18">
          <w:pPr>
            <w:pStyle w:val="11"/>
            <w:tabs>
              <w:tab w:val="right" w:leader="dot" w:pos="8250"/>
            </w:tabs>
            <w:rPr>
              <w:sz w:val="28"/>
              <w:szCs w:val="24"/>
            </w:rPr>
          </w:pPr>
          <w:r>
            <w:rPr>
              <w:sz w:val="28"/>
              <w:szCs w:val="40"/>
            </w:rPr>
            <w:fldChar w:fldCharType="begin"/>
          </w:r>
          <w:r>
            <w:rPr>
              <w:sz w:val="28"/>
              <w:szCs w:val="40"/>
            </w:rPr>
            <w:instrText xml:space="preserve"> HYPERLINK \l _Toc24942 </w:instrText>
          </w:r>
          <w:r>
            <w:rPr>
              <w:sz w:val="28"/>
              <w:szCs w:val="40"/>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三</w:t>
          </w:r>
          <w:r>
            <w:rPr>
              <w:rFonts w:hint="eastAsia" w:ascii="楷体_GB2312" w:hAnsi="楷体_GB2312" w:eastAsia="楷体_GB2312" w:cs="楷体_GB2312"/>
              <w:bCs/>
              <w:kern w:val="0"/>
              <w:sz w:val="28"/>
              <w:szCs w:val="44"/>
              <w:lang w:eastAsia="zh-CN"/>
            </w:rPr>
            <w:t>）项目实施单位未进行绩效自评</w:t>
          </w:r>
          <w:r>
            <w:rPr>
              <w:sz w:val="28"/>
              <w:szCs w:val="24"/>
            </w:rPr>
            <w:tab/>
          </w:r>
          <w:r>
            <w:rPr>
              <w:sz w:val="28"/>
              <w:szCs w:val="24"/>
            </w:rPr>
            <w:fldChar w:fldCharType="begin"/>
          </w:r>
          <w:r>
            <w:rPr>
              <w:sz w:val="28"/>
              <w:szCs w:val="24"/>
            </w:rPr>
            <w:instrText xml:space="preserve"> PAGEREF _Toc24942 \h </w:instrText>
          </w:r>
          <w:r>
            <w:rPr>
              <w:sz w:val="28"/>
              <w:szCs w:val="24"/>
            </w:rPr>
            <w:fldChar w:fldCharType="separate"/>
          </w:r>
          <w:r>
            <w:rPr>
              <w:sz w:val="28"/>
              <w:szCs w:val="24"/>
            </w:rPr>
            <w:t>15</w:t>
          </w:r>
          <w:r>
            <w:rPr>
              <w:sz w:val="28"/>
              <w:szCs w:val="24"/>
            </w:rPr>
            <w:fldChar w:fldCharType="end"/>
          </w:r>
          <w:r>
            <w:rPr>
              <w:sz w:val="28"/>
              <w:szCs w:val="40"/>
            </w:rPr>
            <w:fldChar w:fldCharType="end"/>
          </w:r>
        </w:p>
        <w:p w14:paraId="0FE22D19">
          <w:pPr>
            <w:pStyle w:val="10"/>
            <w:tabs>
              <w:tab w:val="right" w:leader="dot" w:pos="8250"/>
            </w:tabs>
            <w:rPr>
              <w:sz w:val="28"/>
              <w:szCs w:val="24"/>
            </w:rPr>
          </w:pPr>
          <w:r>
            <w:rPr>
              <w:sz w:val="28"/>
              <w:szCs w:val="40"/>
            </w:rPr>
            <w:fldChar w:fldCharType="begin"/>
          </w:r>
          <w:r>
            <w:rPr>
              <w:sz w:val="28"/>
              <w:szCs w:val="40"/>
            </w:rPr>
            <w:instrText xml:space="preserve"> HYPERLINK \l _Toc16364 </w:instrText>
          </w:r>
          <w:r>
            <w:rPr>
              <w:sz w:val="28"/>
              <w:szCs w:val="40"/>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_Toc16364 \h </w:instrText>
          </w:r>
          <w:r>
            <w:rPr>
              <w:sz w:val="28"/>
              <w:szCs w:val="24"/>
            </w:rPr>
            <w:fldChar w:fldCharType="separate"/>
          </w:r>
          <w:r>
            <w:rPr>
              <w:sz w:val="28"/>
              <w:szCs w:val="24"/>
            </w:rPr>
            <w:t>16</w:t>
          </w:r>
          <w:r>
            <w:rPr>
              <w:sz w:val="28"/>
              <w:szCs w:val="24"/>
            </w:rPr>
            <w:fldChar w:fldCharType="end"/>
          </w:r>
          <w:r>
            <w:rPr>
              <w:sz w:val="28"/>
              <w:szCs w:val="40"/>
            </w:rPr>
            <w:fldChar w:fldCharType="end"/>
          </w:r>
        </w:p>
        <w:p w14:paraId="39D28CA2">
          <w:pPr>
            <w:pStyle w:val="11"/>
            <w:tabs>
              <w:tab w:val="right" w:leader="dot" w:pos="8250"/>
            </w:tabs>
            <w:rPr>
              <w:sz w:val="28"/>
              <w:szCs w:val="24"/>
            </w:rPr>
          </w:pPr>
          <w:r>
            <w:rPr>
              <w:sz w:val="28"/>
              <w:szCs w:val="40"/>
            </w:rPr>
            <w:fldChar w:fldCharType="begin"/>
          </w:r>
          <w:r>
            <w:rPr>
              <w:sz w:val="28"/>
              <w:szCs w:val="40"/>
            </w:rPr>
            <w:instrText xml:space="preserve"> HYPERLINK \l _Toc20030 </w:instrText>
          </w:r>
          <w:r>
            <w:rPr>
              <w:sz w:val="28"/>
              <w:szCs w:val="40"/>
            </w:rPr>
            <w:fldChar w:fldCharType="separate"/>
          </w:r>
          <w:r>
            <w:rPr>
              <w:rFonts w:hint="eastAsia" w:ascii="楷体_GB2312" w:hAnsi="楷体_GB2312" w:eastAsia="楷体_GB2312" w:cs="楷体_GB2312"/>
              <w:bCs/>
              <w:kern w:val="0"/>
              <w:sz w:val="28"/>
              <w:szCs w:val="44"/>
              <w:lang w:eastAsia="zh-CN"/>
            </w:rPr>
            <w:t>（一）设置项目的绩效目标及指标</w:t>
          </w:r>
          <w:r>
            <w:rPr>
              <w:sz w:val="28"/>
              <w:szCs w:val="24"/>
            </w:rPr>
            <w:tab/>
          </w:r>
          <w:r>
            <w:rPr>
              <w:sz w:val="28"/>
              <w:szCs w:val="24"/>
            </w:rPr>
            <w:fldChar w:fldCharType="begin"/>
          </w:r>
          <w:r>
            <w:rPr>
              <w:sz w:val="28"/>
              <w:szCs w:val="24"/>
            </w:rPr>
            <w:instrText xml:space="preserve"> PAGEREF _Toc20030 \h </w:instrText>
          </w:r>
          <w:r>
            <w:rPr>
              <w:sz w:val="28"/>
              <w:szCs w:val="24"/>
            </w:rPr>
            <w:fldChar w:fldCharType="separate"/>
          </w:r>
          <w:r>
            <w:rPr>
              <w:sz w:val="28"/>
              <w:szCs w:val="24"/>
            </w:rPr>
            <w:t>16</w:t>
          </w:r>
          <w:r>
            <w:rPr>
              <w:sz w:val="28"/>
              <w:szCs w:val="24"/>
            </w:rPr>
            <w:fldChar w:fldCharType="end"/>
          </w:r>
          <w:r>
            <w:rPr>
              <w:sz w:val="28"/>
              <w:szCs w:val="40"/>
            </w:rPr>
            <w:fldChar w:fldCharType="end"/>
          </w:r>
        </w:p>
        <w:p w14:paraId="2DE4EB63">
          <w:pPr>
            <w:pStyle w:val="11"/>
            <w:tabs>
              <w:tab w:val="right" w:leader="dot" w:pos="8250"/>
            </w:tabs>
            <w:rPr>
              <w:sz w:val="28"/>
              <w:szCs w:val="24"/>
            </w:rPr>
          </w:pPr>
          <w:r>
            <w:rPr>
              <w:sz w:val="28"/>
              <w:szCs w:val="40"/>
            </w:rPr>
            <w:fldChar w:fldCharType="begin"/>
          </w:r>
          <w:r>
            <w:rPr>
              <w:sz w:val="28"/>
              <w:szCs w:val="40"/>
            </w:rPr>
            <w:instrText xml:space="preserve"> HYPERLINK \l _Toc8599 </w:instrText>
          </w:r>
          <w:r>
            <w:rPr>
              <w:sz w:val="28"/>
              <w:szCs w:val="40"/>
            </w:rPr>
            <w:fldChar w:fldCharType="separate"/>
          </w:r>
          <w:r>
            <w:rPr>
              <w:rFonts w:hint="eastAsia" w:ascii="楷体_GB2312" w:hAnsi="楷体_GB2312" w:eastAsia="楷体_GB2312" w:cs="楷体_GB2312"/>
              <w:bCs/>
              <w:kern w:val="0"/>
              <w:sz w:val="28"/>
              <w:szCs w:val="44"/>
              <w:lang w:eastAsia="zh-CN"/>
            </w:rPr>
            <w:t>（二）制定相关制度，加强绩效管理</w:t>
          </w:r>
          <w:r>
            <w:rPr>
              <w:sz w:val="28"/>
              <w:szCs w:val="24"/>
            </w:rPr>
            <w:tab/>
          </w:r>
          <w:r>
            <w:rPr>
              <w:sz w:val="28"/>
              <w:szCs w:val="24"/>
            </w:rPr>
            <w:fldChar w:fldCharType="begin"/>
          </w:r>
          <w:r>
            <w:rPr>
              <w:sz w:val="28"/>
              <w:szCs w:val="24"/>
            </w:rPr>
            <w:instrText xml:space="preserve"> PAGEREF _Toc8599 \h </w:instrText>
          </w:r>
          <w:r>
            <w:rPr>
              <w:sz w:val="28"/>
              <w:szCs w:val="24"/>
            </w:rPr>
            <w:fldChar w:fldCharType="separate"/>
          </w:r>
          <w:r>
            <w:rPr>
              <w:sz w:val="28"/>
              <w:szCs w:val="24"/>
            </w:rPr>
            <w:t>16</w:t>
          </w:r>
          <w:r>
            <w:rPr>
              <w:sz w:val="28"/>
              <w:szCs w:val="24"/>
            </w:rPr>
            <w:fldChar w:fldCharType="end"/>
          </w:r>
          <w:r>
            <w:rPr>
              <w:sz w:val="28"/>
              <w:szCs w:val="40"/>
            </w:rPr>
            <w:fldChar w:fldCharType="end"/>
          </w:r>
        </w:p>
        <w:p w14:paraId="7B94D127">
          <w:pPr>
            <w:pStyle w:val="11"/>
            <w:tabs>
              <w:tab w:val="right" w:leader="dot" w:pos="8250"/>
            </w:tabs>
            <w:rPr>
              <w:sz w:val="28"/>
              <w:szCs w:val="24"/>
            </w:rPr>
          </w:pPr>
          <w:r>
            <w:rPr>
              <w:sz w:val="28"/>
              <w:szCs w:val="40"/>
            </w:rPr>
            <w:fldChar w:fldCharType="begin"/>
          </w:r>
          <w:r>
            <w:rPr>
              <w:sz w:val="28"/>
              <w:szCs w:val="40"/>
            </w:rPr>
            <w:instrText xml:space="preserve"> HYPERLINK \l _Toc31121 </w:instrText>
          </w:r>
          <w:r>
            <w:rPr>
              <w:sz w:val="28"/>
              <w:szCs w:val="40"/>
            </w:rPr>
            <w:fldChar w:fldCharType="separate"/>
          </w:r>
          <w:r>
            <w:rPr>
              <w:rFonts w:hint="eastAsia" w:ascii="楷体_GB2312" w:hAnsi="楷体_GB2312" w:eastAsia="楷体_GB2312" w:cs="楷体_GB2312"/>
              <w:bCs/>
              <w:kern w:val="0"/>
              <w:sz w:val="28"/>
              <w:szCs w:val="44"/>
              <w:lang w:eastAsia="zh-CN"/>
            </w:rPr>
            <w:t>（三）及时进行绩效自评</w:t>
          </w:r>
          <w:r>
            <w:rPr>
              <w:sz w:val="28"/>
              <w:szCs w:val="24"/>
            </w:rPr>
            <w:tab/>
          </w:r>
          <w:r>
            <w:rPr>
              <w:sz w:val="28"/>
              <w:szCs w:val="24"/>
            </w:rPr>
            <w:fldChar w:fldCharType="begin"/>
          </w:r>
          <w:r>
            <w:rPr>
              <w:sz w:val="28"/>
              <w:szCs w:val="24"/>
            </w:rPr>
            <w:instrText xml:space="preserve"> PAGEREF _Toc31121 \h </w:instrText>
          </w:r>
          <w:r>
            <w:rPr>
              <w:sz w:val="28"/>
              <w:szCs w:val="24"/>
            </w:rPr>
            <w:fldChar w:fldCharType="separate"/>
          </w:r>
          <w:r>
            <w:rPr>
              <w:sz w:val="28"/>
              <w:szCs w:val="24"/>
            </w:rPr>
            <w:t>16</w:t>
          </w:r>
          <w:r>
            <w:rPr>
              <w:sz w:val="28"/>
              <w:szCs w:val="24"/>
            </w:rPr>
            <w:fldChar w:fldCharType="end"/>
          </w:r>
          <w:r>
            <w:rPr>
              <w:sz w:val="28"/>
              <w:szCs w:val="40"/>
            </w:rPr>
            <w:fldChar w:fldCharType="end"/>
          </w:r>
        </w:p>
        <w:p w14:paraId="02912E67">
          <w:pPr>
            <w:pStyle w:val="10"/>
            <w:tabs>
              <w:tab w:val="right" w:leader="dot" w:pos="8250"/>
            </w:tabs>
            <w:rPr>
              <w:sz w:val="28"/>
              <w:szCs w:val="24"/>
            </w:rPr>
          </w:pPr>
          <w:r>
            <w:rPr>
              <w:sz w:val="28"/>
              <w:szCs w:val="40"/>
            </w:rPr>
            <w:fldChar w:fldCharType="begin"/>
          </w:r>
          <w:r>
            <w:rPr>
              <w:sz w:val="28"/>
              <w:szCs w:val="40"/>
            </w:rPr>
            <w:instrText xml:space="preserve"> HYPERLINK \l _Toc21700 </w:instrText>
          </w:r>
          <w:r>
            <w:rPr>
              <w:sz w:val="28"/>
              <w:szCs w:val="40"/>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w:t>
          </w:r>
          <w:r>
            <w:rPr>
              <w:rFonts w:hint="eastAsia" w:ascii="仿宋" w:hAnsi="仿宋" w:eastAsia="仿宋" w:cs="仿宋"/>
              <w:kern w:val="0"/>
              <w:sz w:val="28"/>
              <w:szCs w:val="44"/>
            </w:rPr>
            <w:t>1.项目绩效评价指标体系打分表</w:t>
          </w:r>
          <w:r>
            <w:rPr>
              <w:sz w:val="28"/>
              <w:szCs w:val="24"/>
            </w:rPr>
            <w:tab/>
          </w:r>
          <w:r>
            <w:rPr>
              <w:sz w:val="28"/>
              <w:szCs w:val="24"/>
            </w:rPr>
            <w:fldChar w:fldCharType="begin"/>
          </w:r>
          <w:r>
            <w:rPr>
              <w:sz w:val="28"/>
              <w:szCs w:val="24"/>
            </w:rPr>
            <w:instrText xml:space="preserve"> PAGEREF _Toc21700 \h </w:instrText>
          </w:r>
          <w:r>
            <w:rPr>
              <w:sz w:val="28"/>
              <w:szCs w:val="24"/>
            </w:rPr>
            <w:fldChar w:fldCharType="separate"/>
          </w:r>
          <w:r>
            <w:rPr>
              <w:sz w:val="28"/>
              <w:szCs w:val="24"/>
            </w:rPr>
            <w:t>16</w:t>
          </w:r>
          <w:r>
            <w:rPr>
              <w:sz w:val="28"/>
              <w:szCs w:val="24"/>
            </w:rPr>
            <w:fldChar w:fldCharType="end"/>
          </w:r>
          <w:r>
            <w:rPr>
              <w:sz w:val="28"/>
              <w:szCs w:val="40"/>
            </w:rPr>
            <w:fldChar w:fldCharType="end"/>
          </w:r>
        </w:p>
        <w:p w14:paraId="513F964A">
          <w:pPr>
            <w:jc w:val="center"/>
            <w:rPr>
              <w:sz w:val="28"/>
              <w:szCs w:val="28"/>
            </w:rPr>
          </w:pPr>
          <w:r>
            <w:rPr>
              <w:b/>
              <w:sz w:val="28"/>
              <w:szCs w:val="28"/>
            </w:rPr>
            <w:fldChar w:fldCharType="end"/>
          </w:r>
          <w:bookmarkStart w:id="3" w:name="_Toc7428"/>
        </w:p>
      </w:sdtContent>
    </w:sdt>
    <w:p w14:paraId="41663AF1">
      <w:pPr>
        <w:jc w:val="center"/>
        <w:outlineLvl w:val="0"/>
        <w:rPr>
          <w:rFonts w:ascii="宋体" w:hAnsi="宋体" w:cs="宋体"/>
          <w:b/>
          <w:bCs/>
          <w:spacing w:val="-3"/>
          <w:sz w:val="28"/>
          <w:szCs w:val="28"/>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1B332A71">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5359"/>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0CCB7CA9">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为了优化城市的空间布局，加强区域间的合作与交流，根据扶风县自然资源局《扶风县国土空间总体规划（2021-2035年）》（第十二次会议），扶风县人民政府于2020年3月20日召开第七次政府常务会议，决定实施国土空间总体规划编制工作经费项目。项目主管部门为扶风县自然资源局，由扶风县自然资源局实施。项目预算资金240万元，项目到位资金240万元，项目资金支付240万元，项目结余资金0万元。</w:t>
      </w:r>
    </w:p>
    <w:p w14:paraId="451B4D1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按照确定的评分细则，对各项指标逐一评价打分，国土空间总体规划编制工作经费绩效评价得分为87.0分，评价结果等级为“良”。</w:t>
      </w:r>
    </w:p>
    <w:p w14:paraId="4B8ECD6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存在的问题：①项目未设置绩效目标及指标；②管理制度不健全，绩效管理有待加强；③项目实施单位未进行绩效自评。</w:t>
      </w:r>
    </w:p>
    <w:p w14:paraId="70B1973F">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725694A6">
      <w:pPr>
        <w:spacing w:line="600" w:lineRule="exact"/>
        <w:ind w:firstLine="723"/>
        <w:jc w:val="center"/>
        <w:outlineLvl w:val="9"/>
        <w:rPr>
          <w:rFonts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国土空间总体规划编制工作经费</w:t>
      </w:r>
    </w:p>
    <w:p w14:paraId="32D46AF8">
      <w:pPr>
        <w:spacing w:line="600" w:lineRule="exact"/>
        <w:ind w:firstLine="723"/>
        <w:jc w:val="center"/>
        <w:outlineLvl w:val="9"/>
        <w:rPr>
          <w:rFonts w:hint="eastAsia" w:ascii="方正小标宋_GBK" w:hAnsi="方正小标宋_GBK" w:eastAsia="方正小标宋_GBK" w:cs="方正小标宋_GBK"/>
          <w:b/>
          <w:bCs/>
          <w:kern w:val="2"/>
          <w:sz w:val="36"/>
          <w:szCs w:val="36"/>
        </w:rPr>
      </w:pPr>
      <w:bookmarkStart w:id="5" w:name="_Toc3207"/>
      <w:bookmarkStart w:id="6" w:name="_Toc3198"/>
      <w:r>
        <w:rPr>
          <w:rFonts w:hint="eastAsia" w:ascii="方正小标宋_GBK" w:hAnsi="方正小标宋_GBK" w:eastAsia="方正小标宋_GBK" w:cs="方正小标宋_GBK"/>
          <w:b/>
          <w:bCs/>
          <w:kern w:val="2"/>
          <w:sz w:val="36"/>
          <w:szCs w:val="36"/>
        </w:rPr>
        <w:t>绩效评价报告</w:t>
      </w:r>
      <w:bookmarkEnd w:id="5"/>
      <w:bookmarkEnd w:id="6"/>
    </w:p>
    <w:p w14:paraId="0C1BEA7C">
      <w:pPr>
        <w:spacing w:line="600" w:lineRule="exact"/>
        <w:ind w:firstLine="640" w:firstLineChars="200"/>
        <w:rPr>
          <w:rFonts w:ascii="仿宋" w:hAnsi="仿宋" w:eastAsia="仿宋" w:cs="仿宋"/>
          <w:kern w:val="0"/>
          <w:sz w:val="32"/>
          <w:szCs w:val="32"/>
        </w:rPr>
      </w:pPr>
      <w:bookmarkStart w:id="7" w:name="_Toc12937"/>
      <w:bookmarkStart w:id="8" w:name="_Toc9863"/>
      <w:bookmarkStart w:id="9" w:name="_Toc23524"/>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w:t>
      </w:r>
      <w:r>
        <w:rPr>
          <w:rFonts w:hint="eastAsia" w:ascii="仿宋" w:hAnsi="仿宋" w:eastAsia="仿宋" w:cs="仿宋"/>
          <w:kern w:val="0"/>
          <w:sz w:val="32"/>
          <w:szCs w:val="32"/>
          <w:lang w:val="en-US" w:eastAsia="zh-CN"/>
        </w:rPr>
        <w:t>3日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，对国土空间总体规划编制工作经费进行绩效评价。现将评价情况报告如下：</w:t>
      </w:r>
    </w:p>
    <w:p w14:paraId="00C57F00">
      <w:pPr>
        <w:spacing w:before="104" w:line="600" w:lineRule="exact"/>
        <w:ind w:firstLine="672"/>
        <w:outlineLvl w:val="0"/>
        <w:rPr>
          <w:rFonts w:ascii="黑体" w:hAnsi="黑体" w:eastAsia="黑体" w:cs="黑体"/>
          <w:spacing w:val="-2"/>
          <w:sz w:val="32"/>
          <w:szCs w:val="32"/>
        </w:rPr>
      </w:pPr>
      <w:bookmarkStart w:id="10" w:name="_Toc14258"/>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38E4D387">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2255"/>
      <w:bookmarkStart w:id="13" w:name="_Toc24850"/>
      <w:bookmarkStart w:id="14" w:name="_Toc246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31A615E2">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55D443B4">
      <w:pPr>
        <w:spacing w:line="600" w:lineRule="exact"/>
        <w:ind w:firstLine="640" w:firstLineChars="200"/>
      </w:pPr>
      <w:r>
        <w:rPr>
          <w:rFonts w:ascii="仿宋" w:hAnsi="仿宋" w:eastAsia="仿宋" w:cs="仿宋"/>
          <w:kern w:val="0"/>
          <w:sz w:val="32"/>
          <w:szCs w:val="32"/>
        </w:rPr>
        <w:t>为了优化城市的空间布局，加强区域间的合作与交流，根据扶风县自然资源局《扶风县国土空间总体规划（2021-2035年）》（第十二次会议），扶风县人民政府于2020年3月20日召开第七次政府常务会议，决定实施国土空间总体规划编制工作经费项目。</w:t>
      </w:r>
    </w:p>
    <w:p w14:paraId="44079228">
      <w:pPr>
        <w:spacing w:line="600" w:lineRule="exact"/>
        <w:ind w:firstLine="643"/>
        <w:outlineLvl w:val="9"/>
        <w:rPr>
          <w:rFonts w:hint="eastAsia" w:ascii="仿宋" w:hAnsi="仿宋" w:eastAsia="宋体" w:cs="仿宋"/>
          <w:b/>
          <w:bCs/>
          <w:sz w:val="32"/>
          <w:szCs w:val="32"/>
        </w:rPr>
      </w:pPr>
      <w:bookmarkStart w:id="15" w:name="_Toc30940"/>
      <w:bookmarkStart w:id="16" w:name="_Toc19838"/>
      <w:bookmarkStart w:id="17" w:name="_Toc2902"/>
      <w:bookmarkStart w:id="18" w:name="_Toc24420"/>
      <w:bookmarkStart w:id="19" w:name="_Toc5307_WPSOffice_Level2"/>
      <w:bookmarkStart w:id="20" w:name="_Toc6691"/>
      <w:r>
        <w:rPr>
          <w:rFonts w:hint="eastAsia" w:ascii="仿宋" w:hAnsi="仿宋" w:eastAsia="宋体" w:cs="仿宋"/>
          <w:b/>
          <w:bCs/>
          <w:sz w:val="32"/>
          <w:szCs w:val="32"/>
        </w:rPr>
        <w:t>2.项目主要内容</w:t>
      </w:r>
    </w:p>
    <w:p w14:paraId="75F7F27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（1）《扶风县土地利用总体规划(2006-2020年)和扶风县城市总体规划（2010-2030年）实施评估》；</w:t>
      </w:r>
    </w:p>
    <w:p w14:paraId="0F9ABD9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（2）国土空间开发保护现状评估；</w:t>
      </w:r>
    </w:p>
    <w:p w14:paraId="1445429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（3）《资源环境承载能力和国土空间开发适宜性评价》；</w:t>
      </w:r>
    </w:p>
    <w:p w14:paraId="09736FE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（4）《三区三线划定与优化研究》；</w:t>
      </w:r>
    </w:p>
    <w:p w14:paraId="6F365C7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（5）《高质量产业发展与空间布局研究》；</w:t>
      </w:r>
    </w:p>
    <w:p w14:paraId="2DD242D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（6）《城乡建设用地节约集约利用与开发潜力研究》；</w:t>
      </w:r>
    </w:p>
    <w:p w14:paraId="08203C8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（7）《国土综合整治与生态修复研究》；</w:t>
      </w:r>
    </w:p>
    <w:p w14:paraId="2620060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（8）《乡村振兴与村庄布局研究》。</w:t>
      </w:r>
    </w:p>
    <w:p w14:paraId="7E441A03">
      <w:pPr>
        <w:spacing w:line="600" w:lineRule="exact"/>
        <w:ind w:firstLine="643"/>
        <w:outlineLvl w:val="9"/>
        <w:rPr>
          <w:rFonts w:ascii="仿宋" w:hAnsi="仿宋" w:cs="仿宋"/>
          <w:b/>
          <w:bCs/>
          <w:sz w:val="32"/>
          <w:szCs w:val="32"/>
        </w:rPr>
      </w:pPr>
      <w:r>
        <w:rPr>
          <w:rFonts w:hint="eastAsia" w:ascii="仿宋" w:hAnsi="仿宋" w:cs="仿宋"/>
          <w:b/>
          <w:bCs/>
          <w:sz w:val="32"/>
          <w:szCs w:val="32"/>
        </w:rPr>
        <w:t>3.项目实施情况</w:t>
      </w:r>
    </w:p>
    <w:p w14:paraId="17A18ED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（1）扶风县自然资源局委托陕西上德招标有限公司于2020年11月03日，通过公开招标方式确定施工单位为陕西空间规划研究院有限公司。</w:t>
      </w:r>
    </w:p>
    <w:p w14:paraId="27ECE07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（2）项目已完工。</w:t>
      </w:r>
    </w:p>
    <w:p w14:paraId="39FA0EEB">
      <w:pPr>
        <w:spacing w:line="600" w:lineRule="exact"/>
        <w:ind w:firstLine="643"/>
        <w:outlineLvl w:val="9"/>
        <w:rPr>
          <w:rFonts w:ascii="仿宋" w:hAnsi="仿宋" w:cs="仿宋"/>
          <w:b/>
          <w:bCs/>
          <w:sz w:val="32"/>
          <w:szCs w:val="32"/>
        </w:rPr>
      </w:pPr>
      <w:r>
        <w:rPr>
          <w:rFonts w:hint="eastAsia" w:ascii="仿宋" w:hAnsi="仿宋" w:cs="仿宋"/>
          <w:b/>
          <w:bCs/>
          <w:sz w:val="32"/>
          <w:szCs w:val="32"/>
        </w:rPr>
        <w:t>4.项目资金投入情况</w:t>
      </w:r>
    </w:p>
    <w:p w14:paraId="24E2FC75">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扶风县财政局于2023年5月4日</w:t>
      </w:r>
      <w:r>
        <w:rPr>
          <w:rFonts w:hint="eastAsia" w:ascii="仿宋" w:hAnsi="仿宋" w:eastAsia="仿宋" w:cs="仿宋"/>
          <w:kern w:val="0"/>
          <w:sz w:val="32"/>
          <w:szCs w:val="32"/>
          <w:lang w:val="en-US" w:eastAsia="zh-CN"/>
        </w:rPr>
        <w:t>根据</w:t>
      </w:r>
      <w:r>
        <w:rPr>
          <w:rFonts w:hint="eastAsia" w:ascii="仿宋" w:hAnsi="仿宋" w:eastAsia="仿宋" w:cs="仿宋"/>
          <w:kern w:val="0"/>
          <w:sz w:val="32"/>
          <w:szCs w:val="32"/>
        </w:rPr>
        <w:t>《扶风县自然资源局关于申请拨付扶风县国土空间总体规划编制工作经费的报告》（扶自然资字〔2023〕74号）向扶风县自然资源局下达国土空间总体规划编制工作经费240万元。</w:t>
      </w:r>
    </w:p>
    <w:p w14:paraId="222FCBDF">
      <w:pPr>
        <w:spacing w:line="600" w:lineRule="exact"/>
        <w:ind w:firstLine="643"/>
        <w:outlineLvl w:val="9"/>
        <w:rPr>
          <w:rFonts w:ascii="仿宋" w:hAnsi="仿宋" w:cs="仿宋"/>
          <w:b/>
          <w:bCs/>
          <w:sz w:val="32"/>
          <w:szCs w:val="32"/>
        </w:rPr>
      </w:pPr>
      <w:r>
        <w:rPr>
          <w:rFonts w:hint="eastAsia" w:ascii="仿宋" w:hAnsi="仿宋" w:cs="仿宋"/>
          <w:b/>
          <w:bCs/>
          <w:sz w:val="32"/>
          <w:szCs w:val="32"/>
        </w:rPr>
        <w:t>5.项目支出和资金使用情况</w:t>
      </w:r>
    </w:p>
    <w:p w14:paraId="39334E2D">
      <w:pPr>
        <w:spacing w:line="600" w:lineRule="exact"/>
        <w:ind w:firstLine="640" w:firstLineChars="200"/>
      </w:pPr>
      <w:r>
        <w:rPr>
          <w:rFonts w:hint="eastAsia" w:ascii="仿宋" w:hAnsi="仿宋" w:eastAsia="仿宋" w:cs="仿宋"/>
          <w:kern w:val="0"/>
          <w:sz w:val="32"/>
          <w:szCs w:val="32"/>
        </w:rPr>
        <w:t>项目预算资金为240万元，截至2023年8月25日，已支付240万元。</w:t>
      </w:r>
    </w:p>
    <w:p w14:paraId="7A493A59">
      <w:pPr>
        <w:spacing w:line="600" w:lineRule="exact"/>
        <w:ind w:firstLine="643" w:firstLineChars="200"/>
        <w:outlineLvl w:val="1"/>
        <w:rPr>
          <w:rFonts w:ascii="楷体" w:hAnsi="楷体" w:eastAsia="楷体" w:cs="楷体"/>
          <w:b/>
          <w:bCs/>
          <w:kern w:val="0"/>
          <w:sz w:val="32"/>
          <w:szCs w:val="32"/>
        </w:rPr>
      </w:pPr>
      <w:bookmarkStart w:id="21" w:name="_Toc15008"/>
      <w:r>
        <w:rPr>
          <w:rFonts w:hint="eastAsia" w:ascii="楷体" w:hAnsi="楷体" w:eastAsia="楷体" w:cs="楷体"/>
          <w:b/>
          <w:bCs/>
          <w:kern w:val="0"/>
          <w:sz w:val="32"/>
          <w:szCs w:val="32"/>
        </w:rPr>
        <w:t>（二）项目绩效目标</w:t>
      </w:r>
      <w:bookmarkEnd w:id="15"/>
      <w:bookmarkEnd w:id="16"/>
      <w:bookmarkEnd w:id="17"/>
      <w:bookmarkEnd w:id="21"/>
    </w:p>
    <w:p w14:paraId="60B0FBC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1.项目总体目标</w:t>
      </w:r>
    </w:p>
    <w:p w14:paraId="1FC5804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全面开展规划文本编制，形成文本初稿，完成“国土空间基础信息平台和国土空间规划“一张图”实施监测信息系统”框架搭建，并初步完成规划图集编制以及国土空间基础信息平台和国土空间规划“一张图”实施监测信息系统试运行，优化县域布局，加强区域间的合作与交流，引导县域高效集约发展。</w:t>
      </w:r>
    </w:p>
    <w:p w14:paraId="0D15671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2.项目绩效目标分解</w:t>
      </w:r>
    </w:p>
    <w:p w14:paraId="448B802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（1）产出指标</w:t>
      </w:r>
    </w:p>
    <w:p w14:paraId="58517C9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①数量指标。完成扶风县国土空间总体规划编制工作。</w:t>
      </w:r>
    </w:p>
    <w:p w14:paraId="36EEA0F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②质量指标。《陕西省县级国土空间总体规划编制技术规范》通过专家评审。</w:t>
      </w:r>
    </w:p>
    <w:p w14:paraId="69290F95">
      <w:pPr>
        <w:spacing w:line="600" w:lineRule="exact"/>
        <w:ind w:firstLine="640" w:firstLineChars="200"/>
        <w:rPr>
          <w:rFonts w:hint="eastAsia" w:ascii="仿宋" w:hAnsi="仿宋" w:eastAsia="仿宋" w:cs="仿宋"/>
          <w:kern w:val="0"/>
          <w:sz w:val="32"/>
          <w:szCs w:val="32"/>
          <w:lang w:eastAsia="zh-CN"/>
        </w:rPr>
      </w:pPr>
      <w:r>
        <w:rPr>
          <w:rFonts w:hint="eastAsia" w:ascii="仿宋" w:hAnsi="仿宋" w:eastAsia="仿宋" w:cs="仿宋"/>
          <w:kern w:val="0"/>
          <w:sz w:val="32"/>
          <w:szCs w:val="32"/>
        </w:rPr>
        <w:t>③时效指标。2023年</w:t>
      </w:r>
      <w:r>
        <w:rPr>
          <w:rFonts w:hint="eastAsia" w:ascii="仿宋" w:hAnsi="仿宋" w:eastAsia="仿宋" w:cs="仿宋"/>
          <w:kern w:val="0"/>
          <w:sz w:val="32"/>
          <w:szCs w:val="32"/>
          <w:lang w:eastAsia="zh-CN"/>
        </w:rPr>
        <w:t>。</w:t>
      </w:r>
    </w:p>
    <w:p w14:paraId="75E06BC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④成本指标。项目支出240万元。</w:t>
      </w:r>
    </w:p>
    <w:p w14:paraId="7575157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（2）效益指标</w:t>
      </w:r>
    </w:p>
    <w:p w14:paraId="72B1EC5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①社会效益。优化县域布局明显提升。</w:t>
      </w:r>
    </w:p>
    <w:p w14:paraId="1424AC8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②可持续影响。引导县域高效集约发展</w:t>
      </w:r>
      <w:r>
        <w:rPr>
          <w:rFonts w:hint="eastAsia" w:ascii="仿宋" w:hAnsi="仿宋" w:eastAsia="仿宋" w:cs="仿宋"/>
          <w:kern w:val="0"/>
          <w:sz w:val="32"/>
          <w:szCs w:val="32"/>
          <w:lang w:val="en-US" w:eastAsia="zh-CN"/>
        </w:rPr>
        <w:t>水平</w:t>
      </w:r>
      <w:r>
        <w:rPr>
          <w:rFonts w:hint="eastAsia" w:ascii="仿宋" w:hAnsi="仿宋" w:eastAsia="仿宋" w:cs="仿宋"/>
          <w:kern w:val="0"/>
          <w:sz w:val="32"/>
          <w:szCs w:val="32"/>
        </w:rPr>
        <w:t>明显提升。</w:t>
      </w:r>
    </w:p>
    <w:p w14:paraId="0B3983F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③满意度。社会公众满意度达到90%。</w:t>
      </w:r>
      <w:bookmarkEnd w:id="18"/>
      <w:bookmarkEnd w:id="19"/>
      <w:bookmarkEnd w:id="20"/>
      <w:bookmarkStart w:id="22" w:name="_Toc25596"/>
      <w:bookmarkStart w:id="23" w:name="_Toc22895"/>
      <w:bookmarkStart w:id="24" w:name="_Toc29155_WPSOffice_Level1"/>
      <w:bookmarkStart w:id="25" w:name="_Toc28175_WPSOffice_Level1"/>
      <w:bookmarkStart w:id="26" w:name="_Toc8245_WPSOffice_Level1"/>
      <w:bookmarkStart w:id="27" w:name="_Toc21915"/>
      <w:bookmarkStart w:id="28" w:name="_Toc3241_WPSOffice_Level1"/>
      <w:bookmarkStart w:id="29" w:name="_Hlk2370114"/>
      <w:bookmarkStart w:id="30" w:name="_Toc29537"/>
      <w:bookmarkStart w:id="31" w:name="_Toc16072"/>
      <w:bookmarkStart w:id="32" w:name="_Toc28206"/>
      <w:bookmarkStart w:id="33" w:name="_Toc18785"/>
      <w:bookmarkStart w:id="34" w:name="_Toc6828_WPSOffice_Level1"/>
      <w:bookmarkStart w:id="35" w:name="_Toc11420_WPSOffice_Level1"/>
      <w:bookmarkStart w:id="36" w:name="_Toc29074"/>
      <w:bookmarkStart w:id="37" w:name="_Toc6281_WPSOffice_Level1"/>
      <w:bookmarkStart w:id="38" w:name="_Toc751_WPSOffice_Level1"/>
    </w:p>
    <w:p w14:paraId="04153183">
      <w:pPr>
        <w:spacing w:before="104" w:line="600" w:lineRule="exact"/>
        <w:ind w:firstLine="672"/>
        <w:outlineLvl w:val="0"/>
        <w:rPr>
          <w:rFonts w:ascii="黑体" w:hAnsi="黑体" w:eastAsia="黑体" w:cs="黑体"/>
          <w:spacing w:val="-2"/>
          <w:sz w:val="32"/>
          <w:szCs w:val="32"/>
        </w:rPr>
      </w:pPr>
      <w:bookmarkStart w:id="39" w:name="_Toc29422"/>
      <w:r>
        <w:rPr>
          <w:rFonts w:hint="eastAsia" w:ascii="黑体" w:hAnsi="黑体" w:eastAsia="黑体" w:cs="黑体"/>
          <w:spacing w:val="-2"/>
          <w:sz w:val="32"/>
          <w:szCs w:val="32"/>
        </w:rPr>
        <w:t>二、绩效评价工作开展情况</w:t>
      </w:r>
      <w:bookmarkEnd w:id="22"/>
      <w:bookmarkEnd w:id="23"/>
      <w:bookmarkEnd w:id="39"/>
      <w:bookmarkStart w:id="40" w:name="_Toc30013"/>
      <w:bookmarkStart w:id="41" w:name="_Toc4270"/>
      <w:bookmarkStart w:id="42" w:name="_Toc1319"/>
      <w:bookmarkStart w:id="43" w:name="_Toc1360"/>
    </w:p>
    <w:p w14:paraId="478D563D">
      <w:pPr>
        <w:spacing w:before="104" w:line="600" w:lineRule="exact"/>
        <w:ind w:firstLine="672"/>
        <w:outlineLvl w:val="1"/>
      </w:pPr>
      <w:bookmarkStart w:id="44" w:name="_Toc26897"/>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4279A9D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国土空间总体规划编制工作经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40DAC02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41D48363">
      <w:pPr>
        <w:spacing w:line="600" w:lineRule="exact"/>
        <w:ind w:firstLine="643" w:firstLineChars="200"/>
        <w:outlineLvl w:val="1"/>
        <w:rPr>
          <w:rFonts w:ascii="楷体" w:hAnsi="楷体" w:eastAsia="楷体" w:cs="楷体"/>
          <w:b/>
          <w:bCs/>
          <w:kern w:val="0"/>
          <w:sz w:val="32"/>
          <w:szCs w:val="32"/>
        </w:rPr>
      </w:pPr>
      <w:bookmarkStart w:id="45" w:name="_Toc18097"/>
      <w:bookmarkStart w:id="46" w:name="_Toc17204"/>
      <w:bookmarkStart w:id="47" w:name="_Toc14910"/>
      <w:bookmarkStart w:id="48" w:name="_Toc26289"/>
      <w:bookmarkStart w:id="49" w:name="_Toc2196"/>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7437E429">
      <w:pPr>
        <w:spacing w:line="600" w:lineRule="exact"/>
        <w:ind w:firstLine="643"/>
        <w:outlineLvl w:val="9"/>
        <w:rPr>
          <w:rFonts w:ascii="仿宋" w:hAnsi="仿宋" w:cs="仿宋"/>
          <w:b/>
          <w:bCs/>
          <w:sz w:val="32"/>
          <w:szCs w:val="32"/>
        </w:rPr>
      </w:pPr>
      <w:r>
        <w:rPr>
          <w:rFonts w:hint="eastAsia" w:ascii="仿宋" w:hAnsi="仿宋" w:cs="仿宋"/>
          <w:b/>
          <w:bCs/>
          <w:sz w:val="32"/>
          <w:szCs w:val="32"/>
        </w:rPr>
        <w:t>1.绩效评价原则</w:t>
      </w:r>
    </w:p>
    <w:p w14:paraId="3BC45A51">
      <w:pPr>
        <w:spacing w:line="600" w:lineRule="exact"/>
        <w:ind w:firstLine="640" w:firstLineChars="200"/>
        <w:outlineLvl w:val="9"/>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21FCA54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1509D47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0C9ECD9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5802FC5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190D5AF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3218D0A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7A10FA6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（8）反馈原则。将评价的结果反馈给委托部门，作为有关部门以后年度安排项目预算、加强项目管理等工作的重要依据。 </w:t>
      </w:r>
    </w:p>
    <w:p w14:paraId="6591BA2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2845DC48">
      <w:pPr>
        <w:spacing w:line="600" w:lineRule="exact"/>
        <w:ind w:firstLine="643"/>
        <w:outlineLvl w:val="9"/>
        <w:rPr>
          <w:rFonts w:ascii="仿宋" w:hAnsi="仿宋" w:cs="仿宋"/>
          <w:b/>
          <w:bCs/>
          <w:sz w:val="32"/>
          <w:szCs w:val="32"/>
        </w:rPr>
      </w:pPr>
      <w:r>
        <w:rPr>
          <w:rFonts w:hint="eastAsia" w:ascii="仿宋" w:hAnsi="仿宋" w:cs="仿宋"/>
          <w:b/>
          <w:bCs/>
          <w:sz w:val="32"/>
          <w:szCs w:val="32"/>
        </w:rPr>
        <w:t>2.评价指标体系</w:t>
      </w:r>
    </w:p>
    <w:p w14:paraId="0C3B12A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2999FF7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20A8D710">
      <w:pPr>
        <w:spacing w:line="600" w:lineRule="exact"/>
        <w:ind w:firstLine="643"/>
        <w:outlineLvl w:val="9"/>
        <w:rPr>
          <w:rFonts w:ascii="仿宋" w:hAnsi="仿宋" w:cs="仿宋"/>
          <w:b/>
          <w:bCs/>
          <w:sz w:val="32"/>
          <w:szCs w:val="32"/>
        </w:rPr>
      </w:pPr>
      <w:r>
        <w:rPr>
          <w:rFonts w:hint="eastAsia" w:ascii="仿宋" w:hAnsi="仿宋" w:cs="仿宋"/>
          <w:b/>
          <w:bCs/>
          <w:sz w:val="32"/>
          <w:szCs w:val="32"/>
        </w:rPr>
        <w:t>3.评价方法</w:t>
      </w:r>
    </w:p>
    <w:p w14:paraId="4B7B5FDE">
      <w:pPr>
        <w:spacing w:line="600" w:lineRule="exact"/>
        <w:ind w:firstLine="640" w:firstLineChars="200"/>
        <w:outlineLvl w:val="9"/>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国土空间总体规划编制工作经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15626921">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1B061657">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395AB6D2">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0AF9CA45">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10F528DC">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45462A2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5D653A21">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5AE99CDB">
      <w:pPr>
        <w:spacing w:line="600" w:lineRule="exact"/>
        <w:ind w:firstLine="643"/>
        <w:outlineLvl w:val="9"/>
        <w:rPr>
          <w:rFonts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2A79440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23D5F93C">
      <w:pPr>
        <w:spacing w:line="600" w:lineRule="exact"/>
        <w:ind w:firstLine="643" w:firstLineChars="200"/>
        <w:outlineLvl w:val="1"/>
        <w:rPr>
          <w:rFonts w:ascii="楷体" w:hAnsi="楷体" w:eastAsia="楷体" w:cs="楷体"/>
          <w:b/>
          <w:bCs/>
          <w:kern w:val="0"/>
          <w:sz w:val="32"/>
          <w:szCs w:val="32"/>
        </w:rPr>
      </w:pPr>
      <w:bookmarkStart w:id="53" w:name="_Toc23298"/>
      <w:bookmarkStart w:id="54" w:name="_Toc22057"/>
      <w:bookmarkStart w:id="55" w:name="_Toc17254"/>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2B2B1990">
      <w:pPr>
        <w:spacing w:line="600" w:lineRule="exact"/>
        <w:ind w:firstLine="643"/>
        <w:outlineLvl w:val="9"/>
        <w:rPr>
          <w:rFonts w:ascii="仿宋" w:hAnsi="仿宋" w:cs="仿宋"/>
          <w:b/>
          <w:bCs/>
          <w:sz w:val="32"/>
          <w:szCs w:val="32"/>
        </w:rPr>
      </w:pPr>
      <w:r>
        <w:rPr>
          <w:rFonts w:hint="eastAsia" w:ascii="仿宋" w:hAnsi="仿宋" w:cs="仿宋"/>
          <w:b/>
          <w:bCs/>
          <w:sz w:val="32"/>
          <w:szCs w:val="32"/>
        </w:rPr>
        <w:t>1.前期准备阶段</w:t>
      </w:r>
    </w:p>
    <w:p w14:paraId="044A568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（1）成立评价工作小组。由扶风县财政局</w:t>
      </w:r>
      <w:r>
        <w:rPr>
          <w:rFonts w:hint="eastAsia" w:ascii="仿宋" w:hAnsi="仿宋" w:eastAsia="仿宋" w:cs="仿宋"/>
          <w:kern w:val="0"/>
          <w:sz w:val="32"/>
          <w:szCs w:val="32"/>
          <w:lang w:val="en-US" w:eastAsia="zh-CN"/>
        </w:rPr>
        <w:t>相关业务股室</w:t>
      </w:r>
      <w:r>
        <w:rPr>
          <w:rFonts w:hint="eastAsia" w:ascii="仿宋" w:hAnsi="仿宋" w:eastAsia="仿宋" w:cs="仿宋"/>
          <w:kern w:val="0"/>
          <w:sz w:val="32"/>
          <w:szCs w:val="32"/>
        </w:rPr>
        <w:t>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715F3240">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118E47A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2FAD0CF3">
      <w:pPr>
        <w:spacing w:line="600" w:lineRule="exact"/>
        <w:ind w:firstLine="643"/>
        <w:outlineLvl w:val="9"/>
        <w:rPr>
          <w:rFonts w:ascii="仿宋" w:hAnsi="仿宋" w:cs="仿宋"/>
          <w:b/>
          <w:bCs/>
          <w:sz w:val="32"/>
          <w:szCs w:val="32"/>
        </w:rPr>
      </w:pPr>
      <w:r>
        <w:rPr>
          <w:rFonts w:hint="eastAsia" w:ascii="仿宋" w:hAnsi="仿宋" w:cs="仿宋"/>
          <w:b/>
          <w:bCs/>
          <w:sz w:val="32"/>
          <w:szCs w:val="32"/>
        </w:rPr>
        <w:t>2.组织实施阶段</w:t>
      </w:r>
    </w:p>
    <w:p w14:paraId="0F13929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6396E33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55C2D429">
      <w:pPr>
        <w:spacing w:line="600" w:lineRule="exact"/>
        <w:ind w:firstLine="643" w:firstLineChars="200"/>
        <w:outlineLvl w:val="9"/>
        <w:rPr>
          <w:rFonts w:ascii="仿宋" w:hAnsi="仿宋" w:eastAsia="仿宋" w:cs="仿宋"/>
          <w:b/>
          <w:bCs/>
          <w:sz w:val="32"/>
          <w:szCs w:val="32"/>
        </w:rPr>
      </w:pPr>
      <w:r>
        <w:rPr>
          <w:rFonts w:hint="eastAsia" w:ascii="仿宋" w:hAnsi="仿宋" w:eastAsia="仿宋" w:cs="仿宋"/>
          <w:b/>
          <w:bCs/>
          <w:sz w:val="32"/>
          <w:szCs w:val="32"/>
        </w:rPr>
        <w:t>3.分析评价阶段</w:t>
      </w:r>
    </w:p>
    <w:p w14:paraId="0265CAD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0B7738D2">
      <w:pPr>
        <w:spacing w:line="600" w:lineRule="exact"/>
        <w:ind w:firstLine="643" w:firstLineChars="200"/>
        <w:outlineLvl w:val="9"/>
        <w:rPr>
          <w:rFonts w:ascii="仿宋" w:hAnsi="仿宋" w:eastAsia="仿宋" w:cs="仿宋"/>
          <w:b/>
          <w:bCs/>
          <w:sz w:val="32"/>
          <w:szCs w:val="32"/>
        </w:rPr>
      </w:pPr>
      <w:r>
        <w:rPr>
          <w:rFonts w:hint="eastAsia" w:ascii="仿宋" w:hAnsi="仿宋" w:cs="仿宋"/>
          <w:b/>
          <w:bCs/>
          <w:sz w:val="32"/>
          <w:szCs w:val="32"/>
        </w:rPr>
        <w:t>4.</w:t>
      </w:r>
      <w:r>
        <w:rPr>
          <w:rFonts w:hint="eastAsia" w:ascii="仿宋" w:hAnsi="仿宋" w:eastAsia="仿宋" w:cs="仿宋"/>
          <w:b/>
          <w:bCs/>
          <w:sz w:val="32"/>
          <w:szCs w:val="32"/>
        </w:rPr>
        <w:t>撰写报告阶段</w:t>
      </w:r>
    </w:p>
    <w:p w14:paraId="47DD1FF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034E277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（2）形成初步结论。按照专项资金的评价方法、评价标准、评价指标对评价对象的绩效情况进行全面的定量、定性分析和综合评价量化打分，对本组评价结果进行汇总，形成初步结论。</w:t>
      </w:r>
    </w:p>
    <w:p w14:paraId="2BB8FFE1">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0AA22EB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2116DF46">
      <w:pPr>
        <w:spacing w:line="600" w:lineRule="exact"/>
        <w:ind w:firstLine="643"/>
        <w:outlineLvl w:val="9"/>
        <w:rPr>
          <w:rFonts w:ascii="仿宋" w:hAnsi="仿宋" w:cs="仿宋"/>
          <w:b/>
          <w:bCs/>
          <w:sz w:val="32"/>
          <w:szCs w:val="32"/>
        </w:rPr>
      </w:pPr>
      <w:r>
        <w:rPr>
          <w:rFonts w:hint="eastAsia" w:ascii="仿宋" w:hAnsi="仿宋" w:cs="仿宋"/>
          <w:b/>
          <w:bCs/>
          <w:sz w:val="32"/>
          <w:szCs w:val="32"/>
        </w:rPr>
        <w:t>5.评价结果反馈阶段</w:t>
      </w:r>
    </w:p>
    <w:p w14:paraId="37D2220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10ABEB94">
      <w:pPr>
        <w:spacing w:before="104" w:line="600" w:lineRule="exact"/>
        <w:ind w:firstLine="672"/>
        <w:outlineLvl w:val="0"/>
        <w:rPr>
          <w:rFonts w:ascii="黑体" w:hAnsi="黑体" w:eastAsia="黑体" w:cs="黑体"/>
          <w:spacing w:val="-2"/>
          <w:sz w:val="32"/>
          <w:szCs w:val="32"/>
        </w:rPr>
      </w:pPr>
      <w:bookmarkStart w:id="58" w:name="_Toc30051"/>
      <w:r>
        <w:rPr>
          <w:rFonts w:hint="eastAsia" w:ascii="黑体" w:hAnsi="黑体" w:eastAsia="黑体" w:cs="黑体"/>
          <w:spacing w:val="-2"/>
          <w:sz w:val="32"/>
          <w:szCs w:val="32"/>
        </w:rPr>
        <w:t>三、综合评价情况及评价结论</w:t>
      </w:r>
      <w:bookmarkEnd w:id="56"/>
      <w:bookmarkEnd w:id="58"/>
    </w:p>
    <w:p w14:paraId="69B155C2">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按照确定的评分细则，通过对各项指标逐一评价打分，国土空间总体规划编制工作经费绩效评价得分为87.0分，评价结果等级为“良”，评分情况详见下表。</w:t>
      </w:r>
    </w:p>
    <w:p w14:paraId="608E38AF">
      <w:pPr>
        <w:pStyle w:val="21"/>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5"/>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53D00BD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2FFE4739">
            <w:pPr>
              <w:pStyle w:val="21"/>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6127744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17924C9F">
            <w:pPr>
              <w:pStyle w:val="21"/>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12C266ED">
            <w:pPr>
              <w:pStyle w:val="21"/>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03FC075B">
            <w:pPr>
              <w:pStyle w:val="21"/>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1FFF19A1">
            <w:pPr>
              <w:pStyle w:val="21"/>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2A65ACC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C9EF42E">
            <w:pPr>
              <w:jc w:val="center"/>
            </w:pPr>
            <w:r>
              <w:rPr>
                <w:rFonts w:ascii="仿宋" w:hAnsi="仿宋" w:eastAsia="仿宋" w:cs="仿宋"/>
                <w:b w:val="0"/>
                <w:sz w:val="32"/>
              </w:rPr>
              <w:t>决策指标</w:t>
            </w:r>
          </w:p>
        </w:tc>
        <w:tc>
          <w:p w14:paraId="3845F083">
            <w:pPr>
              <w:jc w:val="center"/>
            </w:pPr>
            <w:r>
              <w:rPr>
                <w:rFonts w:ascii="仿宋" w:hAnsi="仿宋" w:eastAsia="仿宋" w:cs="仿宋"/>
                <w:b w:val="0"/>
                <w:sz w:val="32"/>
              </w:rPr>
              <w:t>18.0</w:t>
            </w:r>
          </w:p>
        </w:tc>
        <w:tc>
          <w:p w14:paraId="25FA54D4">
            <w:pPr>
              <w:jc w:val="center"/>
            </w:pPr>
            <w:r>
              <w:rPr>
                <w:rFonts w:ascii="仿宋" w:hAnsi="仿宋" w:eastAsia="仿宋" w:cs="仿宋"/>
                <w:b w:val="0"/>
                <w:sz w:val="32"/>
              </w:rPr>
              <w:t>11.0</w:t>
            </w:r>
          </w:p>
        </w:tc>
        <w:tc>
          <w:p w14:paraId="5542E8C1">
            <w:pPr>
              <w:jc w:val="center"/>
            </w:pPr>
            <w:r>
              <w:rPr>
                <w:rFonts w:ascii="仿宋" w:hAnsi="仿宋" w:eastAsia="仿宋" w:cs="仿宋"/>
                <w:b w:val="0"/>
                <w:sz w:val="32"/>
              </w:rPr>
              <w:t>61.11%</w:t>
            </w:r>
          </w:p>
        </w:tc>
      </w:tr>
      <w:tr w14:paraId="1BFED5C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7CB40AA">
            <w:pPr>
              <w:jc w:val="center"/>
            </w:pPr>
            <w:r>
              <w:rPr>
                <w:rFonts w:ascii="仿宋" w:hAnsi="仿宋" w:eastAsia="仿宋" w:cs="仿宋"/>
                <w:b w:val="0"/>
                <w:sz w:val="32"/>
              </w:rPr>
              <w:t>过程指标</w:t>
            </w:r>
          </w:p>
        </w:tc>
        <w:tc>
          <w:p w14:paraId="2BC7C13A">
            <w:pPr>
              <w:jc w:val="center"/>
            </w:pPr>
            <w:r>
              <w:rPr>
                <w:rFonts w:ascii="仿宋" w:hAnsi="仿宋" w:eastAsia="仿宋" w:cs="仿宋"/>
                <w:b w:val="0"/>
                <w:sz w:val="32"/>
              </w:rPr>
              <w:t>22.0</w:t>
            </w:r>
          </w:p>
        </w:tc>
        <w:tc>
          <w:p w14:paraId="0C1862E3">
            <w:pPr>
              <w:jc w:val="center"/>
            </w:pPr>
            <w:r>
              <w:rPr>
                <w:rFonts w:ascii="仿宋" w:hAnsi="仿宋" w:eastAsia="仿宋" w:cs="仿宋"/>
                <w:b w:val="0"/>
                <w:sz w:val="32"/>
              </w:rPr>
              <w:t>16.0</w:t>
            </w:r>
          </w:p>
        </w:tc>
        <w:tc>
          <w:p w14:paraId="2A3A9038">
            <w:pPr>
              <w:jc w:val="center"/>
            </w:pPr>
            <w:r>
              <w:rPr>
                <w:rFonts w:ascii="仿宋" w:hAnsi="仿宋" w:eastAsia="仿宋" w:cs="仿宋"/>
                <w:b w:val="0"/>
                <w:sz w:val="32"/>
              </w:rPr>
              <w:t>72.73%</w:t>
            </w:r>
          </w:p>
        </w:tc>
      </w:tr>
      <w:tr w14:paraId="0EF053C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41B696AB">
            <w:pPr>
              <w:jc w:val="center"/>
            </w:pPr>
            <w:r>
              <w:rPr>
                <w:rFonts w:ascii="仿宋" w:hAnsi="仿宋" w:eastAsia="仿宋" w:cs="仿宋"/>
                <w:b w:val="0"/>
                <w:sz w:val="32"/>
              </w:rPr>
              <w:t>产出指标</w:t>
            </w:r>
          </w:p>
        </w:tc>
        <w:tc>
          <w:p w14:paraId="4364414D">
            <w:pPr>
              <w:jc w:val="center"/>
            </w:pPr>
            <w:r>
              <w:rPr>
                <w:rFonts w:ascii="仿宋" w:hAnsi="仿宋" w:eastAsia="仿宋" w:cs="仿宋"/>
                <w:b w:val="0"/>
                <w:sz w:val="32"/>
              </w:rPr>
              <w:t>36.0</w:t>
            </w:r>
          </w:p>
        </w:tc>
        <w:tc>
          <w:p w14:paraId="694BBCBD">
            <w:pPr>
              <w:jc w:val="center"/>
            </w:pPr>
            <w:r>
              <w:rPr>
                <w:rFonts w:ascii="仿宋" w:hAnsi="仿宋" w:eastAsia="仿宋" w:cs="仿宋"/>
                <w:b w:val="0"/>
                <w:sz w:val="32"/>
              </w:rPr>
              <w:t>36.0</w:t>
            </w:r>
          </w:p>
        </w:tc>
        <w:tc>
          <w:p w14:paraId="4724D69B">
            <w:pPr>
              <w:jc w:val="center"/>
            </w:pPr>
            <w:r>
              <w:rPr>
                <w:rFonts w:ascii="仿宋" w:hAnsi="仿宋" w:eastAsia="仿宋" w:cs="仿宋"/>
                <w:b w:val="0"/>
                <w:sz w:val="32"/>
              </w:rPr>
              <w:t>100.00%</w:t>
            </w:r>
          </w:p>
        </w:tc>
      </w:tr>
      <w:tr w14:paraId="6F65B3A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98AFC67">
            <w:pPr>
              <w:jc w:val="center"/>
            </w:pPr>
            <w:r>
              <w:rPr>
                <w:rFonts w:ascii="仿宋" w:hAnsi="仿宋" w:eastAsia="仿宋" w:cs="仿宋"/>
                <w:b w:val="0"/>
                <w:sz w:val="32"/>
              </w:rPr>
              <w:t>效益指标</w:t>
            </w:r>
          </w:p>
        </w:tc>
        <w:tc>
          <w:p w14:paraId="09722018">
            <w:pPr>
              <w:jc w:val="center"/>
            </w:pPr>
            <w:r>
              <w:rPr>
                <w:rFonts w:ascii="仿宋" w:hAnsi="仿宋" w:eastAsia="仿宋" w:cs="仿宋"/>
                <w:b w:val="0"/>
                <w:sz w:val="32"/>
              </w:rPr>
              <w:t>24.0</w:t>
            </w:r>
          </w:p>
        </w:tc>
        <w:tc>
          <w:p w14:paraId="490FEFBD">
            <w:pPr>
              <w:jc w:val="center"/>
            </w:pPr>
            <w:r>
              <w:rPr>
                <w:rFonts w:ascii="仿宋" w:hAnsi="仿宋" w:eastAsia="仿宋" w:cs="仿宋"/>
                <w:b w:val="0"/>
                <w:sz w:val="32"/>
              </w:rPr>
              <w:t>24.0</w:t>
            </w:r>
          </w:p>
        </w:tc>
        <w:tc>
          <w:p w14:paraId="75D3E360">
            <w:pPr>
              <w:jc w:val="center"/>
            </w:pPr>
            <w:r>
              <w:rPr>
                <w:rFonts w:ascii="仿宋" w:hAnsi="仿宋" w:eastAsia="仿宋" w:cs="仿宋"/>
                <w:b w:val="0"/>
                <w:sz w:val="32"/>
              </w:rPr>
              <w:t>100.00%</w:t>
            </w:r>
          </w:p>
        </w:tc>
      </w:tr>
    </w:tbl>
    <w:p w14:paraId="4A6DEB70">
      <w:pPr>
        <w:keepNext w:val="0"/>
        <w:keepLines w:val="0"/>
        <w:pageBreakBefore w:val="0"/>
        <w:widowControl w:val="0"/>
        <w:kinsoku/>
        <w:wordWrap/>
        <w:overflowPunct/>
        <w:topLinePunct w:val="0"/>
        <w:autoSpaceDE/>
        <w:autoSpaceDN/>
        <w:bidi w:val="0"/>
        <w:spacing w:before="104" w:line="600" w:lineRule="exact"/>
        <w:ind w:firstLine="632" w:firstLineChars="200"/>
        <w:textAlignment w:val="auto"/>
        <w:outlineLvl w:val="0"/>
        <w:rPr>
          <w:rFonts w:ascii="黑体" w:hAnsi="黑体" w:eastAsia="黑体" w:cs="黑体"/>
          <w:spacing w:val="-2"/>
          <w:sz w:val="32"/>
          <w:szCs w:val="32"/>
        </w:rPr>
      </w:pPr>
      <w:bookmarkStart w:id="60" w:name="_Toc6847"/>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4780_WPSOffice_Level2"/>
      <w:bookmarkStart w:id="62" w:name="_Toc26570_WPSOffice_Level2"/>
      <w:bookmarkStart w:id="63" w:name="_Hlk2366513"/>
      <w:bookmarkStart w:id="64" w:name="_Toc24823_WPSOffice_Level2"/>
      <w:bookmarkStart w:id="65" w:name="_Toc379"/>
      <w:bookmarkStart w:id="66" w:name="_Toc18549_WPSOffice_Level2"/>
      <w:bookmarkStart w:id="67" w:name="_Toc28988"/>
      <w:bookmarkStart w:id="68" w:name="_Toc17947"/>
    </w:p>
    <w:p w14:paraId="7586807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32191"/>
      <w:r>
        <w:rPr>
          <w:rFonts w:hint="eastAsia" w:ascii="楷体_GB2312" w:hAnsi="楷体_GB2312" w:eastAsia="楷体_GB2312" w:cs="楷体_GB2312"/>
          <w:b/>
          <w:bCs/>
          <w:kern w:val="0"/>
          <w:sz w:val="32"/>
          <w:szCs w:val="32"/>
        </w:rPr>
        <w:t>（一）决策指标（满分18.0分，实得11.0分）</w:t>
      </w:r>
      <w:bookmarkEnd w:id="69"/>
    </w:p>
    <w:p w14:paraId="11FEBB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65C0AB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4BC980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为了贯彻落实《陕西省国土空间规划（202</w:t>
      </w:r>
      <w:r>
        <w:rPr>
          <w:rFonts w:hint="eastAsia" w:ascii="仿宋" w:hAnsi="仿宋" w:eastAsia="仿宋" w:cs="仿宋"/>
          <w:kern w:val="0"/>
          <w:sz w:val="32"/>
          <w:szCs w:val="32"/>
          <w:lang w:val="en-US" w:eastAsia="zh-CN"/>
        </w:rPr>
        <w:t>0</w:t>
      </w:r>
      <w:r>
        <w:rPr>
          <w:rFonts w:ascii="仿宋" w:hAnsi="仿宋" w:eastAsia="仿宋" w:cs="仿宋"/>
          <w:kern w:val="0"/>
          <w:sz w:val="32"/>
          <w:szCs w:val="32"/>
        </w:rPr>
        <w:t>—2035年）》，执行《扶风县国土空间总体规划（202</w:t>
      </w:r>
      <w:r>
        <w:rPr>
          <w:rFonts w:hint="eastAsia" w:ascii="仿宋" w:hAnsi="仿宋" w:eastAsia="仿宋" w:cs="仿宋"/>
          <w:kern w:val="0"/>
          <w:sz w:val="32"/>
          <w:szCs w:val="32"/>
          <w:lang w:val="en-US" w:eastAsia="zh-CN"/>
        </w:rPr>
        <w:t>0</w:t>
      </w:r>
      <w:r>
        <w:rPr>
          <w:rFonts w:ascii="仿宋" w:hAnsi="仿宋" w:eastAsia="仿宋" w:cs="仿宋"/>
          <w:kern w:val="0"/>
          <w:sz w:val="32"/>
          <w:szCs w:val="32"/>
        </w:rPr>
        <w:t>-2035年）》，扶风县自然资源局决定实施国土空间总体规划编制工作项目</w:t>
      </w:r>
      <w:r>
        <w:rPr>
          <w:rFonts w:hint="eastAsia" w:ascii="仿宋" w:hAnsi="仿宋" w:eastAsia="仿宋" w:cs="仿宋"/>
          <w:kern w:val="0"/>
          <w:sz w:val="32"/>
          <w:szCs w:val="32"/>
          <w:lang w:eastAsia="zh-CN"/>
        </w:rPr>
        <w:t>，</w:t>
      </w:r>
      <w:r>
        <w:rPr>
          <w:rFonts w:ascii="仿宋" w:hAnsi="仿宋" w:eastAsia="仿宋" w:cs="仿宋"/>
          <w:kern w:val="0"/>
          <w:sz w:val="32"/>
          <w:szCs w:val="32"/>
        </w:rPr>
        <w:t>项目由扶风县自然资源局具体负责实施</w:t>
      </w:r>
      <w:r>
        <w:rPr>
          <w:rFonts w:hint="eastAsia" w:ascii="仿宋" w:hAnsi="仿宋" w:eastAsia="仿宋" w:cs="仿宋"/>
          <w:kern w:val="0"/>
          <w:sz w:val="32"/>
          <w:szCs w:val="32"/>
          <w:lang w:eastAsia="zh-CN"/>
        </w:rPr>
        <w:t>。</w:t>
      </w:r>
      <w:r>
        <w:rPr>
          <w:rFonts w:ascii="仿宋" w:hAnsi="仿宋" w:eastAsia="仿宋" w:cs="仿宋"/>
          <w:kern w:val="0"/>
          <w:sz w:val="32"/>
          <w:szCs w:val="32"/>
        </w:rPr>
        <w:t>经分析，项目立项符合</w:t>
      </w:r>
      <w:r>
        <w:rPr>
          <w:rFonts w:hint="eastAsia" w:ascii="仿宋" w:hAnsi="仿宋" w:eastAsia="仿宋" w:cs="仿宋"/>
          <w:kern w:val="0"/>
          <w:sz w:val="32"/>
          <w:szCs w:val="32"/>
          <w:lang w:val="en-US" w:eastAsia="zh-CN"/>
        </w:rPr>
        <w:t>省市县规划，</w:t>
      </w:r>
      <w:r>
        <w:rPr>
          <w:rFonts w:ascii="仿宋" w:hAnsi="仿宋" w:eastAsia="仿宋" w:cs="仿宋"/>
          <w:kern w:val="0"/>
          <w:sz w:val="32"/>
          <w:szCs w:val="32"/>
        </w:rPr>
        <w:t>与部门职责范围相符合，属于公共财政支持范围，与相关部门同类项目不重复。</w:t>
      </w:r>
    </w:p>
    <w:p w14:paraId="54C7B4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7BB38A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55C9F8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经扶风县自然资源局内部集体研究决策，报扶风县人民政府审核，于扶风县第十九届人大常委会第12次会议审定通过。经分析，项目已经按照规定的程序申请设立，审批文件、材料符合相关要求，事前已经过必要的可行性研究、集体决策。</w:t>
      </w:r>
    </w:p>
    <w:p w14:paraId="4778F3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45C1C3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2、绩效目标（满分7.0分，实得0.0分）</w:t>
      </w:r>
    </w:p>
    <w:p w14:paraId="778952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（1）绩效目标合理性（满分4.0分，实得0.0分）</w:t>
      </w:r>
    </w:p>
    <w:p w14:paraId="7F92FB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46FF26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445B44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（2）绩效指标明确性（满分3.0分，实得0.0分）</w:t>
      </w:r>
    </w:p>
    <w:p w14:paraId="338031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w:t>
      </w:r>
      <w:r>
        <w:rPr>
          <w:rFonts w:hint="eastAsia" w:ascii="仿宋" w:hAnsi="仿宋" w:eastAsia="仿宋" w:cs="仿宋"/>
          <w:kern w:val="0"/>
          <w:sz w:val="32"/>
          <w:szCs w:val="32"/>
          <w:lang w:val="en-US" w:eastAsia="zh-CN"/>
        </w:rPr>
        <w:t>单位未提供</w:t>
      </w:r>
      <w:r>
        <w:rPr>
          <w:rFonts w:ascii="仿宋" w:hAnsi="仿宋" w:eastAsia="仿宋" w:cs="仿宋"/>
          <w:kern w:val="0"/>
          <w:sz w:val="32"/>
          <w:szCs w:val="32"/>
        </w:rPr>
        <w:t>绩效目标申报</w:t>
      </w:r>
      <w:r>
        <w:rPr>
          <w:rFonts w:hint="eastAsia" w:ascii="仿宋" w:hAnsi="仿宋" w:eastAsia="仿宋" w:cs="仿宋"/>
          <w:kern w:val="0"/>
          <w:sz w:val="32"/>
          <w:szCs w:val="32"/>
          <w:lang w:val="en-US" w:eastAsia="zh-CN"/>
        </w:rPr>
        <w:t>表</w:t>
      </w:r>
      <w:r>
        <w:rPr>
          <w:rFonts w:ascii="仿宋" w:hAnsi="仿宋" w:eastAsia="仿宋" w:cs="仿宋"/>
          <w:kern w:val="0"/>
          <w:sz w:val="32"/>
          <w:szCs w:val="32"/>
        </w:rPr>
        <w:t>。</w:t>
      </w:r>
    </w:p>
    <w:p w14:paraId="5BDFE8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根据评分标准，本指标满分3.0分，扣3.0分，评价得0.0分。</w:t>
      </w:r>
    </w:p>
    <w:p w14:paraId="2439D1E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017A08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23ACEF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经扶风县自然资源局内部集体研究决策，报扶风县人民政府审核，</w:t>
      </w:r>
      <w:r>
        <w:rPr>
          <w:rFonts w:hint="eastAsia" w:ascii="仿宋" w:hAnsi="仿宋" w:eastAsia="仿宋" w:cs="仿宋"/>
          <w:kern w:val="0"/>
          <w:sz w:val="32"/>
          <w:szCs w:val="32"/>
          <w:lang w:val="en-US" w:eastAsia="zh-CN"/>
        </w:rPr>
        <w:t>经</w:t>
      </w:r>
      <w:r>
        <w:rPr>
          <w:rFonts w:ascii="仿宋" w:hAnsi="仿宋" w:eastAsia="仿宋" w:cs="仿宋"/>
          <w:kern w:val="0"/>
          <w:sz w:val="32"/>
          <w:szCs w:val="32"/>
        </w:rPr>
        <w:t>扶风县第十九届人大常委会第12次会议审定通过。经分析，预算编制经过科学论证，预算内容与项目内容相匹配，预算额度测算依据充分，预算确定的项目投资额与工作任务相匹配。</w:t>
      </w:r>
    </w:p>
    <w:p w14:paraId="6E62F4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5E819A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6DE1E6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项目预算资金列入部门预算，经</w:t>
      </w:r>
      <w:r>
        <w:rPr>
          <w:rFonts w:hint="eastAsia" w:ascii="仿宋" w:hAnsi="仿宋" w:eastAsia="仿宋" w:cs="仿宋"/>
          <w:kern w:val="0"/>
          <w:sz w:val="32"/>
          <w:szCs w:val="32"/>
          <w:lang w:val="en-US" w:eastAsia="zh-CN"/>
        </w:rPr>
        <w:t>扶风县</w:t>
      </w:r>
      <w:r>
        <w:rPr>
          <w:rFonts w:ascii="仿宋" w:hAnsi="仿宋" w:eastAsia="仿宋" w:cs="仿宋"/>
          <w:kern w:val="0"/>
          <w:sz w:val="32"/>
          <w:szCs w:val="32"/>
        </w:rPr>
        <w:t>人代会批准后，由财政下达给扶风县自然资源局。经分析，预算资金分配依据充分，资金分配额度合理、与项目实际相适应。</w:t>
      </w:r>
    </w:p>
    <w:p w14:paraId="1F5C28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475E0F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1779"/>
      <w:r>
        <w:rPr>
          <w:rFonts w:hint="eastAsia" w:ascii="楷体_GB2312" w:hAnsi="楷体_GB2312" w:eastAsia="楷体_GB2312" w:cs="楷体_GB2312"/>
          <w:b/>
          <w:bCs/>
          <w:kern w:val="0"/>
          <w:sz w:val="32"/>
          <w:szCs w:val="32"/>
        </w:rPr>
        <w:t>（二）过程指标（满分22.0分，实得16.0分）</w:t>
      </w:r>
      <w:bookmarkEnd w:id="70"/>
    </w:p>
    <w:p w14:paraId="01BDBC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1、资金管理（满分11.0分，实得11.0分）</w:t>
      </w:r>
    </w:p>
    <w:p w14:paraId="44D075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24A92A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评价小组查阅了项目有关的预算资金下达文件：扶风县财政局于2023年5月4日</w:t>
      </w:r>
      <w:r>
        <w:rPr>
          <w:rFonts w:hint="eastAsia" w:ascii="仿宋" w:hAnsi="仿宋" w:eastAsia="仿宋" w:cs="仿宋"/>
          <w:kern w:val="0"/>
          <w:sz w:val="32"/>
          <w:szCs w:val="32"/>
          <w:lang w:val="en-US" w:eastAsia="zh-CN"/>
        </w:rPr>
        <w:t>根据</w:t>
      </w:r>
      <w:r>
        <w:rPr>
          <w:rFonts w:ascii="仿宋" w:hAnsi="仿宋" w:eastAsia="仿宋" w:cs="仿宋"/>
          <w:kern w:val="0"/>
          <w:sz w:val="32"/>
          <w:szCs w:val="32"/>
        </w:rPr>
        <w:t>《扶风县自然资源局关于申请拨付扶风县国土空间总体规划编制工作经费的报告》（扶自然资字〔2023〕74号）向扶风县自然资源局下达项目资金240万元，资金到位率100.00%。</w:t>
      </w:r>
    </w:p>
    <w:p w14:paraId="7B3CA84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1071E6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（2）预算执行率（满分5.0分，实得5.0分）</w:t>
      </w:r>
    </w:p>
    <w:p w14:paraId="4FB01C0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项目实际到位资金为240万元，实际支出资金240万元，预算执行率100.00%。</w:t>
      </w:r>
    </w:p>
    <w:p w14:paraId="38A530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7CE02F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174ECF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w:t>
      </w:r>
      <w:r>
        <w:rPr>
          <w:rFonts w:hint="eastAsia" w:ascii="仿宋" w:hAnsi="仿宋" w:eastAsia="仿宋" w:cs="仿宋"/>
          <w:kern w:val="0"/>
          <w:sz w:val="32"/>
          <w:szCs w:val="32"/>
          <w:lang w:eastAsia="zh-CN"/>
        </w:rPr>
        <w:t>，</w:t>
      </w:r>
      <w:r>
        <w:rPr>
          <w:rFonts w:ascii="仿宋" w:hAnsi="仿宋" w:eastAsia="仿宋" w:cs="仿宋"/>
          <w:kern w:val="0"/>
          <w:sz w:val="32"/>
          <w:szCs w:val="32"/>
        </w:rPr>
        <w:t>由陕西空间规划研究院有限公司提出申请，经扶风县自然资源局审核及批准。项目达到合同规定的付款条件，凭合同、发票、验收资料等，按照</w:t>
      </w:r>
      <w:r>
        <w:rPr>
          <w:rFonts w:hint="eastAsia" w:ascii="仿宋" w:hAnsi="仿宋" w:eastAsia="仿宋" w:cs="仿宋"/>
          <w:kern w:val="0"/>
          <w:sz w:val="32"/>
          <w:szCs w:val="32"/>
          <w:lang w:val="en-US" w:eastAsia="zh-CN"/>
        </w:rPr>
        <w:t>审</w:t>
      </w:r>
      <w:bookmarkStart w:id="82" w:name="_GoBack"/>
      <w:bookmarkEnd w:id="82"/>
      <w:r>
        <w:rPr>
          <w:rFonts w:ascii="仿宋" w:hAnsi="仿宋" w:eastAsia="仿宋" w:cs="仿宋"/>
          <w:kern w:val="0"/>
          <w:sz w:val="32"/>
          <w:szCs w:val="32"/>
        </w:rPr>
        <w:t>批流程批准后，资金直接支付给施工单位。经分析，项目资金的支出符合国家财经法规的规定，资金的拨付有完整的审批程序和手续，符合项目合同规定的用途，不存在截留、挤占、挪用、虚列支出等情况。</w:t>
      </w:r>
    </w:p>
    <w:p w14:paraId="6C7080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010B04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2、组织实施（满分11.0分，实得5.0分）</w:t>
      </w:r>
    </w:p>
    <w:p w14:paraId="1AD486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0AA345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扶风县自然资源局委托陕西上德招标有限公司于2020年11月03日，通过公开招标方式确定施工单位为陕西空间规划研究院有限公司。经分析，项目采购执行了内部决策程序，项目按照相关政策执行政府采购程序，项目采购方式符合规定。</w:t>
      </w:r>
    </w:p>
    <w:p w14:paraId="5A240D9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42739A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（2）管理制度健全性（满分2.0分，实得0.0分）</w:t>
      </w:r>
    </w:p>
    <w:p w14:paraId="3A15E2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项目单位未制定相应的财务和业务管理制度。</w:t>
      </w:r>
    </w:p>
    <w:p w14:paraId="75DBF9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根据评分标准，本指标满分2.0分，扣2.0分，评价得0.0分。</w:t>
      </w:r>
    </w:p>
    <w:p w14:paraId="4AF0E84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（3）绩效自评规范性（满分4.0分，实得0.0分）</w:t>
      </w:r>
    </w:p>
    <w:p w14:paraId="5A98FA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项目实施单位未进行绩效自评，未编制报告及打分表。</w:t>
      </w:r>
    </w:p>
    <w:p w14:paraId="5896AF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根据评分标准，本指标满分4.0分，扣4.0分，评价得0.0分。</w:t>
      </w:r>
    </w:p>
    <w:p w14:paraId="393E8AF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4715"/>
      <w:r>
        <w:rPr>
          <w:rFonts w:hint="eastAsia" w:ascii="楷体_GB2312" w:hAnsi="楷体_GB2312" w:eastAsia="楷体_GB2312" w:cs="楷体_GB2312"/>
          <w:b/>
          <w:bCs/>
          <w:kern w:val="0"/>
          <w:sz w:val="32"/>
          <w:szCs w:val="32"/>
        </w:rPr>
        <w:t>（三）产出指标（满分36.0分，实得36.0分）</w:t>
      </w:r>
      <w:bookmarkEnd w:id="71"/>
    </w:p>
    <w:p w14:paraId="29C206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48CC2A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3808F0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项目完成</w:t>
      </w:r>
      <w:r>
        <w:rPr>
          <w:rFonts w:hint="eastAsia" w:ascii="仿宋" w:hAnsi="仿宋" w:eastAsia="仿宋" w:cs="仿宋"/>
          <w:kern w:val="0"/>
          <w:sz w:val="32"/>
          <w:szCs w:val="32"/>
          <w:lang w:eastAsia="zh-CN"/>
        </w:rPr>
        <w:t>《</w:t>
      </w:r>
      <w:r>
        <w:rPr>
          <w:rFonts w:ascii="仿宋" w:hAnsi="仿宋" w:eastAsia="仿宋" w:cs="仿宋"/>
          <w:kern w:val="0"/>
          <w:sz w:val="32"/>
          <w:szCs w:val="32"/>
        </w:rPr>
        <w:t>国土空间总体规划重要专题研究内容</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初稿</w:t>
      </w:r>
      <w:r>
        <w:rPr>
          <w:rFonts w:ascii="仿宋" w:hAnsi="仿宋" w:eastAsia="仿宋" w:cs="仿宋"/>
          <w:kern w:val="0"/>
          <w:sz w:val="32"/>
          <w:szCs w:val="32"/>
        </w:rPr>
        <w:t>，提交委托方和相关部门研讨及征询意见，项目计划内容已全部实施。</w:t>
      </w:r>
    </w:p>
    <w:p w14:paraId="4DB4F2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452025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1D5A1E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2086EBB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完成国土空间总体规划重要专题研究内容，提交委托方和相关部门研讨及征询意见已完成，质量合格。</w:t>
      </w:r>
    </w:p>
    <w:p w14:paraId="7D9BCC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55998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615A0F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完成及时率（满分9.0分，实得9.0分）</w:t>
      </w:r>
    </w:p>
    <w:p w14:paraId="4893D7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项目已</w:t>
      </w:r>
      <w:r>
        <w:rPr>
          <w:rFonts w:hint="eastAsia" w:ascii="仿宋" w:hAnsi="仿宋" w:eastAsia="仿宋" w:cs="仿宋"/>
          <w:kern w:val="0"/>
          <w:sz w:val="32"/>
          <w:szCs w:val="32"/>
          <w:highlight w:val="none"/>
          <w:lang w:val="en-US" w:eastAsia="zh-CN"/>
        </w:rPr>
        <w:t>完成《 扶风县国土空间总体规划（2021-2035年）（审议稿）》编制，并于 2023年6月1日</w:t>
      </w:r>
      <w:r>
        <w:rPr>
          <w:rFonts w:ascii="仿宋" w:hAnsi="仿宋" w:eastAsia="仿宋" w:cs="仿宋"/>
          <w:kern w:val="0"/>
          <w:sz w:val="32"/>
          <w:szCs w:val="32"/>
          <w:highlight w:val="none"/>
        </w:rPr>
        <w:t>研讨及征询意见</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在</w:t>
      </w:r>
      <w:r>
        <w:rPr>
          <w:rFonts w:ascii="仿宋" w:hAnsi="仿宋" w:eastAsia="仿宋" w:cs="仿宋"/>
          <w:kern w:val="0"/>
          <w:sz w:val="32"/>
          <w:szCs w:val="32"/>
          <w:highlight w:val="none"/>
        </w:rPr>
        <w:t>约定时间内完成。</w:t>
      </w:r>
    </w:p>
    <w:p w14:paraId="36FD39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AD831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112B8A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成本节约率（满分9.0分，实得9.0分）</w:t>
      </w:r>
    </w:p>
    <w:p w14:paraId="092BCC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项目实际到位资金为240万元，实际支出资金240万元，成本节约率为0%。</w:t>
      </w:r>
    </w:p>
    <w:p w14:paraId="0C5782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DAF104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437"/>
      <w:r>
        <w:rPr>
          <w:rFonts w:hint="eastAsia" w:ascii="楷体_GB2312" w:hAnsi="楷体_GB2312" w:eastAsia="楷体_GB2312" w:cs="楷体_GB2312"/>
          <w:b/>
          <w:bCs/>
          <w:kern w:val="0"/>
          <w:sz w:val="32"/>
          <w:szCs w:val="32"/>
        </w:rPr>
        <w:t>（四）效益指标（满分24.0分，实得24.0分）</w:t>
      </w:r>
      <w:bookmarkEnd w:id="72"/>
    </w:p>
    <w:p w14:paraId="6C5226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1、社会效益（满分18.0分，实得18.0分）</w:t>
      </w:r>
    </w:p>
    <w:p w14:paraId="1CF36F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（1）优化城市的空间布局，加强区域间的合作与交流（满分18.0分，实得18.0分）</w:t>
      </w:r>
    </w:p>
    <w:p w14:paraId="777B6B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有助于优化城乡空间结构，提高土地使用效率，促进区域协调发展。</w:t>
      </w:r>
    </w:p>
    <w:p w14:paraId="449B3FE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根据评分标准，本指标满分18.0分，扣0.0分，评价得18.0分。</w:t>
      </w:r>
    </w:p>
    <w:p w14:paraId="45BDA4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2、满意度（满分6.0分，实得6.0分）</w:t>
      </w:r>
    </w:p>
    <w:p w14:paraId="780EF8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（1）社会公众满意度（满分6.0分，实得6.0分）</w:t>
      </w:r>
    </w:p>
    <w:p w14:paraId="681319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评价组机构通过抽样共计发放20份问卷，社会公众对项目的整体评价为非常满意。满意度调查情况详见《调查问卷分析》。</w:t>
      </w:r>
    </w:p>
    <w:p w14:paraId="5935A7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根据评分标准，本指标满分6.0分，扣0.0分，评价得6.0分。</w:t>
      </w:r>
    </w:p>
    <w:p w14:paraId="2DFE900A">
      <w:pPr>
        <w:spacing w:before="104" w:line="600" w:lineRule="exact"/>
        <w:ind w:firstLine="672"/>
        <w:outlineLvl w:val="0"/>
        <w:rPr>
          <w:rFonts w:ascii="黑体" w:hAnsi="黑体" w:eastAsia="黑体" w:cs="黑体"/>
          <w:spacing w:val="-2"/>
          <w:sz w:val="32"/>
          <w:szCs w:val="32"/>
        </w:rPr>
      </w:pPr>
      <w:bookmarkStart w:id="73" w:name="_Toc10740"/>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1F21D41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4" w:name="_Toc3407"/>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）项目</w:t>
      </w:r>
      <w:r>
        <w:rPr>
          <w:rFonts w:hint="eastAsia" w:ascii="楷体_GB2312" w:hAnsi="楷体_GB2312" w:eastAsia="楷体_GB2312" w:cs="楷体_GB2312"/>
          <w:b/>
          <w:bCs/>
          <w:kern w:val="0"/>
          <w:sz w:val="32"/>
          <w:szCs w:val="32"/>
          <w:lang w:val="en-US" w:eastAsia="zh-CN"/>
        </w:rPr>
        <w:t>单位未提供</w:t>
      </w:r>
      <w:r>
        <w:rPr>
          <w:rFonts w:hint="eastAsia" w:ascii="楷体_GB2312" w:hAnsi="楷体_GB2312" w:eastAsia="楷体_GB2312" w:cs="楷体_GB2312"/>
          <w:b/>
          <w:bCs/>
          <w:kern w:val="0"/>
          <w:sz w:val="32"/>
          <w:szCs w:val="32"/>
          <w:lang w:eastAsia="zh-CN"/>
        </w:rPr>
        <w:t>绩效目标申报</w:t>
      </w:r>
      <w:r>
        <w:rPr>
          <w:rFonts w:hint="eastAsia" w:ascii="楷体_GB2312" w:hAnsi="楷体_GB2312" w:eastAsia="楷体_GB2312" w:cs="楷体_GB2312"/>
          <w:b/>
          <w:bCs/>
          <w:kern w:val="0"/>
          <w:sz w:val="32"/>
          <w:szCs w:val="32"/>
          <w:lang w:val="en-US" w:eastAsia="zh-CN"/>
        </w:rPr>
        <w:t>表</w:t>
      </w:r>
      <w:bookmarkEnd w:id="74"/>
    </w:p>
    <w:p w14:paraId="3DA35AF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5" w:name="_Toc21410"/>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管理制度不健全，绩效管理有待加强</w:t>
      </w:r>
      <w:bookmarkEnd w:id="75"/>
    </w:p>
    <w:p w14:paraId="29C255A7">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项目单位未制定相应的财务和业务管理制度，不利于项目的绩效管理。</w:t>
      </w:r>
    </w:p>
    <w:p w14:paraId="26F8F78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76" w:name="_Toc24942"/>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lang w:eastAsia="zh-CN"/>
        </w:rPr>
        <w:t>）项目实施单位未进行绩效自评</w:t>
      </w:r>
      <w:bookmarkEnd w:id="76"/>
    </w:p>
    <w:p w14:paraId="123FA9D1">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项目实施单位未进行绩效自评，未编制报告及打分表。</w:t>
      </w:r>
    </w:p>
    <w:p w14:paraId="4B6865C7">
      <w:pPr>
        <w:spacing w:line="600" w:lineRule="exact"/>
        <w:ind w:firstLine="632" w:firstLineChars="200"/>
        <w:outlineLvl w:val="0"/>
        <w:rPr>
          <w:rFonts w:ascii="黑体" w:hAnsi="黑体" w:eastAsia="黑体" w:cs="黑体"/>
          <w:spacing w:val="-2"/>
          <w:sz w:val="32"/>
          <w:szCs w:val="32"/>
        </w:rPr>
      </w:pPr>
      <w:bookmarkStart w:id="77" w:name="_Toc16364"/>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7"/>
    </w:p>
    <w:p w14:paraId="685BE9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78" w:name="_Toc20030"/>
      <w:r>
        <w:rPr>
          <w:rFonts w:hint="eastAsia" w:ascii="楷体_GB2312" w:hAnsi="楷体_GB2312" w:eastAsia="楷体_GB2312" w:cs="楷体_GB2312"/>
          <w:b/>
          <w:bCs/>
          <w:kern w:val="0"/>
          <w:sz w:val="32"/>
          <w:szCs w:val="32"/>
          <w:lang w:eastAsia="zh-CN"/>
        </w:rPr>
        <w:t>（一）设置项目的绩效目标及指标</w:t>
      </w:r>
      <w:bookmarkEnd w:id="78"/>
    </w:p>
    <w:p w14:paraId="40AFC584">
      <w:pPr>
        <w:spacing w:line="600" w:lineRule="exact"/>
        <w:ind w:firstLine="640" w:firstLineChars="200"/>
      </w:pPr>
      <w:r>
        <w:rPr>
          <w:rFonts w:hint="eastAsia" w:ascii="仿宋" w:hAnsi="仿宋" w:eastAsia="仿宋" w:cs="仿宋"/>
          <w:kern w:val="0"/>
          <w:sz w:val="32"/>
          <w:szCs w:val="32"/>
        </w:rPr>
        <w:t>在财政预算管理过程中，设置绩效目标能确保公共资金的有效利用和项目的顺利实施。通过明确绩效目标，政府部门和项目实施单位可以清晰地了解项目的预期成果和效益，从而有针对性地制定实施计划和资金配置方案。</w:t>
      </w:r>
    </w:p>
    <w:p w14:paraId="144A7257">
      <w:pPr>
        <w:spacing w:line="600" w:lineRule="exact"/>
        <w:ind w:firstLine="640" w:firstLineChars="200"/>
      </w:pPr>
      <w:r>
        <w:rPr>
          <w:rFonts w:hint="eastAsia" w:ascii="仿宋" w:hAnsi="仿宋" w:eastAsia="仿宋" w:cs="仿宋"/>
          <w:kern w:val="0"/>
          <w:sz w:val="32"/>
          <w:szCs w:val="32"/>
        </w:rPr>
        <w:t>在财政预算管理过程中，设置明确、具体、可衡量的绩效指标能确保财政预算资金项目的有效执行和评估。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117EC8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79" w:name="_Toc8599"/>
      <w:r>
        <w:rPr>
          <w:rFonts w:hint="eastAsia" w:ascii="楷体_GB2312" w:hAnsi="楷体_GB2312" w:eastAsia="楷体_GB2312" w:cs="楷体_GB2312"/>
          <w:b/>
          <w:bCs/>
          <w:kern w:val="0"/>
          <w:sz w:val="32"/>
          <w:szCs w:val="32"/>
          <w:lang w:eastAsia="zh-CN"/>
        </w:rPr>
        <w:t>（二）制定相关制度，加强绩效管理</w:t>
      </w:r>
      <w:bookmarkEnd w:id="79"/>
    </w:p>
    <w:p w14:paraId="7BACEB1D">
      <w:pPr>
        <w:spacing w:line="600" w:lineRule="exact"/>
        <w:ind w:firstLine="640" w:firstLineChars="200"/>
      </w:pPr>
      <w:r>
        <w:rPr>
          <w:rFonts w:hint="eastAsia" w:ascii="仿宋" w:hAnsi="仿宋" w:eastAsia="仿宋" w:cs="仿宋"/>
          <w:kern w:val="0"/>
          <w:sz w:val="32"/>
          <w:szCs w:val="32"/>
        </w:rPr>
        <w:t>项目单位应根据项目的实际情况，制定相应的管理办法及考核制度，加强项目在实施过程中的监控，及时纠正项目在实施过程出现的问题，确保项目绩效目标顺利实现。</w:t>
      </w:r>
    </w:p>
    <w:p w14:paraId="04E3ED2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80" w:name="_Toc31121"/>
      <w:r>
        <w:rPr>
          <w:rFonts w:hint="eastAsia" w:ascii="楷体_GB2312" w:hAnsi="楷体_GB2312" w:eastAsia="楷体_GB2312" w:cs="楷体_GB2312"/>
          <w:b/>
          <w:bCs/>
          <w:kern w:val="0"/>
          <w:sz w:val="32"/>
          <w:szCs w:val="32"/>
          <w:lang w:eastAsia="zh-CN"/>
        </w:rPr>
        <w:t>（三）及时进行绩效自评</w:t>
      </w:r>
      <w:bookmarkEnd w:id="80"/>
    </w:p>
    <w:p w14:paraId="6DC652B0">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项目单位</w:t>
      </w:r>
      <w:r>
        <w:rPr>
          <w:rFonts w:hint="eastAsia" w:ascii="仿宋" w:hAnsi="仿宋" w:eastAsia="仿宋" w:cs="仿宋"/>
          <w:kern w:val="0"/>
          <w:sz w:val="32"/>
          <w:szCs w:val="32"/>
          <w:lang w:val="en-US" w:eastAsia="zh-CN"/>
        </w:rPr>
        <w:t>应</w:t>
      </w:r>
      <w:r>
        <w:rPr>
          <w:rFonts w:hint="eastAsia" w:ascii="仿宋" w:hAnsi="仿宋" w:eastAsia="仿宋" w:cs="仿宋"/>
          <w:kern w:val="0"/>
          <w:sz w:val="32"/>
          <w:szCs w:val="32"/>
        </w:rPr>
        <w:t>及时进行绩效自评，并编制自评报告及自评表。</w:t>
      </w:r>
    </w:p>
    <w:p w14:paraId="615FBCD9">
      <w:pPr>
        <w:spacing w:line="600" w:lineRule="exact"/>
        <w:ind w:firstLine="640" w:firstLineChars="200"/>
        <w:rPr>
          <w:rFonts w:hint="eastAsia" w:ascii="仿宋" w:hAnsi="仿宋" w:eastAsia="仿宋" w:cs="仿宋"/>
          <w:kern w:val="0"/>
          <w:sz w:val="32"/>
          <w:szCs w:val="32"/>
        </w:rPr>
      </w:pPr>
    </w:p>
    <w:p w14:paraId="03E6CC12">
      <w:pPr>
        <w:spacing w:line="600" w:lineRule="exact"/>
        <w:ind w:left="1598" w:leftChars="304" w:hanging="960" w:hangingChars="300"/>
        <w:outlineLvl w:val="0"/>
        <w:rPr>
          <w:rFonts w:hint="eastAsia" w:ascii="仿宋" w:hAnsi="仿宋" w:eastAsia="仿宋" w:cs="仿宋"/>
          <w:kern w:val="0"/>
          <w:sz w:val="32"/>
          <w:szCs w:val="32"/>
        </w:rPr>
      </w:pPr>
    </w:p>
    <w:p w14:paraId="05DD8F3B">
      <w:pPr>
        <w:spacing w:line="600" w:lineRule="exact"/>
        <w:ind w:left="1598" w:leftChars="304" w:hanging="960" w:hangingChars="300"/>
        <w:outlineLvl w:val="0"/>
        <w:rPr>
          <w:rFonts w:hint="eastAsia" w:ascii="仿宋" w:hAnsi="仿宋" w:eastAsia="仿宋" w:cs="仿宋"/>
          <w:kern w:val="0"/>
          <w:sz w:val="32"/>
          <w:szCs w:val="32"/>
        </w:rPr>
      </w:pPr>
      <w:bookmarkStart w:id="81" w:name="_Toc21700"/>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1.项目绩效评价指标体系打分表</w:t>
      </w:r>
      <w:bookmarkEnd w:id="81"/>
    </w:p>
    <w:bookmarkEnd w:id="61"/>
    <w:bookmarkEnd w:id="62"/>
    <w:bookmarkEnd w:id="63"/>
    <w:bookmarkEnd w:id="64"/>
    <w:bookmarkEnd w:id="65"/>
    <w:bookmarkEnd w:id="66"/>
    <w:bookmarkEnd w:id="67"/>
    <w:bookmarkEnd w:id="68"/>
    <w:p w14:paraId="58BFE4AC">
      <w:pPr>
        <w:spacing w:line="360" w:lineRule="auto"/>
        <w:rPr>
          <w:rFonts w:ascii="仿宋" w:hAnsi="仿宋" w:eastAsia="仿宋" w:cs="仿宋"/>
          <w:bCs/>
          <w:kern w:val="0"/>
          <w:sz w:val="32"/>
          <w:szCs w:val="32"/>
        </w:rPr>
      </w:pPr>
    </w:p>
    <w:p w14:paraId="4DF2B1F6">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75EB8C8B">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379B490D">
      <w:pPr>
        <w:spacing w:line="600" w:lineRule="exact"/>
        <w:jc w:val="both"/>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p>
    <w:p w14:paraId="50EB5B60">
      <w:pPr>
        <w:spacing w:line="600" w:lineRule="exact"/>
        <w:jc w:val="both"/>
        <w:rPr>
          <w:rFonts w:hint="eastAsia" w:ascii="仿宋" w:hAnsi="仿宋" w:eastAsia="仿宋" w:cs="仿宋"/>
          <w:kern w:val="0"/>
          <w:sz w:val="32"/>
          <w:szCs w:val="32"/>
        </w:rPr>
      </w:pPr>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w:t>
      </w:r>
      <w:r>
        <w:rPr>
          <w:rFonts w:hint="eastAsia" w:ascii="仿宋" w:hAnsi="仿宋" w:eastAsia="仿宋" w:cs="仿宋"/>
          <w:kern w:val="0"/>
          <w:sz w:val="32"/>
          <w:szCs w:val="32"/>
        </w:rPr>
        <w:t>1</w:t>
      </w:r>
    </w:p>
    <w:p w14:paraId="07677A5A">
      <w:pPr>
        <w:jc w:val="center"/>
        <w:outlineLvl w:val="9"/>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国土空间总体规划编制工作经费绩效评价指标体系打分表</w:t>
      </w:r>
    </w:p>
    <w:tbl>
      <w:tblPr>
        <w:tblStyle w:val="14"/>
        <w:tblW w:w="138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853"/>
        <w:gridCol w:w="692"/>
        <w:gridCol w:w="848"/>
        <w:gridCol w:w="1320"/>
        <w:gridCol w:w="660"/>
        <w:gridCol w:w="877"/>
        <w:gridCol w:w="4785"/>
        <w:gridCol w:w="1200"/>
        <w:gridCol w:w="870"/>
        <w:gridCol w:w="1107"/>
      </w:tblGrid>
      <w:tr w14:paraId="2889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2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F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47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9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1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4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A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6441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C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6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4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0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8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FD71">
            <w:pPr>
              <w:jc w:val="center"/>
              <w:rPr>
                <w:rFonts w:hint="eastAsia" w:ascii="宋体" w:hAnsi="宋体" w:eastAsia="宋体" w:cs="宋体"/>
                <w:i w:val="0"/>
                <w:iCs w:val="0"/>
                <w:color w:val="000000"/>
                <w:sz w:val="22"/>
                <w:szCs w:val="22"/>
                <w:u w:val="none"/>
              </w:rPr>
            </w:pPr>
          </w:p>
        </w:tc>
        <w:tc>
          <w:tcPr>
            <w:tcW w:w="47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D009">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A3E3">
            <w:pPr>
              <w:jc w:val="center"/>
              <w:rPr>
                <w:rFonts w:hint="eastAsia" w:ascii="宋体" w:hAnsi="宋体" w:eastAsia="宋体" w:cs="宋体"/>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90CD">
            <w:pPr>
              <w:jc w:val="center"/>
              <w:rPr>
                <w:rFonts w:hint="eastAsia" w:ascii="宋体" w:hAnsi="宋体" w:eastAsia="宋体" w:cs="宋体"/>
                <w:i w:val="0"/>
                <w:iCs w:val="0"/>
                <w:color w:val="000000"/>
                <w:sz w:val="22"/>
                <w:szCs w:val="22"/>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89F7">
            <w:pPr>
              <w:jc w:val="center"/>
              <w:rPr>
                <w:rFonts w:hint="eastAsia" w:ascii="宋体" w:hAnsi="宋体" w:eastAsia="宋体" w:cs="宋体"/>
                <w:i w:val="0"/>
                <w:iCs w:val="0"/>
                <w:color w:val="000000"/>
                <w:sz w:val="22"/>
                <w:szCs w:val="22"/>
                <w:u w:val="none"/>
              </w:rPr>
            </w:pPr>
          </w:p>
        </w:tc>
      </w:tr>
      <w:tr w14:paraId="53EB6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3C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94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28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DE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DC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DA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B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5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6A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1F77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5BD4">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DAF0">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D9A6">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5421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880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7EDC">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2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3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A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2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5AC0">
            <w:pPr>
              <w:jc w:val="center"/>
              <w:rPr>
                <w:rFonts w:hint="eastAsia" w:ascii="宋体" w:hAnsi="宋体" w:eastAsia="宋体" w:cs="宋体"/>
                <w:i w:val="0"/>
                <w:iCs w:val="0"/>
                <w:color w:val="000000"/>
                <w:sz w:val="22"/>
                <w:szCs w:val="22"/>
                <w:u w:val="none"/>
              </w:rPr>
            </w:pPr>
          </w:p>
        </w:tc>
      </w:tr>
      <w:tr w14:paraId="2F47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A7C1">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F22C">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1A28">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4792">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E32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44FE">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7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9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B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B6B9">
            <w:pPr>
              <w:jc w:val="center"/>
              <w:rPr>
                <w:rFonts w:hint="eastAsia" w:ascii="宋体" w:hAnsi="宋体" w:eastAsia="宋体" w:cs="宋体"/>
                <w:i w:val="0"/>
                <w:iCs w:val="0"/>
                <w:color w:val="000000"/>
                <w:sz w:val="22"/>
                <w:szCs w:val="22"/>
                <w:u w:val="none"/>
              </w:rPr>
            </w:pPr>
          </w:p>
        </w:tc>
      </w:tr>
      <w:tr w14:paraId="388E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52ED">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D581">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F1563">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D61A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A4A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F17B">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1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B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A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2B7B">
            <w:pPr>
              <w:jc w:val="center"/>
              <w:rPr>
                <w:rFonts w:hint="eastAsia" w:ascii="宋体" w:hAnsi="宋体" w:eastAsia="宋体" w:cs="宋体"/>
                <w:i w:val="0"/>
                <w:iCs w:val="0"/>
                <w:color w:val="000000"/>
                <w:sz w:val="22"/>
                <w:szCs w:val="22"/>
                <w:u w:val="none"/>
              </w:rPr>
            </w:pPr>
          </w:p>
        </w:tc>
      </w:tr>
      <w:tr w14:paraId="6653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787BA">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1A314">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D926">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DF33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6F78B">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3E95">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8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C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25DD">
            <w:pPr>
              <w:jc w:val="center"/>
              <w:rPr>
                <w:rFonts w:hint="eastAsia" w:ascii="宋体" w:hAnsi="宋体" w:eastAsia="宋体" w:cs="宋体"/>
                <w:i w:val="0"/>
                <w:iCs w:val="0"/>
                <w:color w:val="000000"/>
                <w:sz w:val="22"/>
                <w:szCs w:val="22"/>
                <w:u w:val="none"/>
              </w:rPr>
            </w:pPr>
          </w:p>
        </w:tc>
      </w:tr>
      <w:tr w14:paraId="6717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83A1">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E376">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6222">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4187">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83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0C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F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7E46">
            <w:pPr>
              <w:jc w:val="center"/>
              <w:rPr>
                <w:rFonts w:hint="eastAsia" w:ascii="宋体" w:hAnsi="宋体" w:eastAsia="宋体" w:cs="宋体"/>
                <w:i w:val="0"/>
                <w:iCs w:val="0"/>
                <w:color w:val="000000"/>
                <w:sz w:val="22"/>
                <w:szCs w:val="22"/>
                <w:u w:val="none"/>
              </w:rPr>
            </w:pPr>
          </w:p>
        </w:tc>
      </w:tr>
      <w:tr w14:paraId="46AB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E51C6">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38EC">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8FCA">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C6E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C5C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218F">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4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9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0ADB">
            <w:pPr>
              <w:jc w:val="center"/>
              <w:rPr>
                <w:rFonts w:hint="eastAsia" w:ascii="宋体" w:hAnsi="宋体" w:eastAsia="宋体" w:cs="宋体"/>
                <w:i w:val="0"/>
                <w:iCs w:val="0"/>
                <w:color w:val="000000"/>
                <w:sz w:val="22"/>
                <w:szCs w:val="22"/>
                <w:u w:val="none"/>
              </w:rPr>
            </w:pPr>
          </w:p>
        </w:tc>
      </w:tr>
      <w:tr w14:paraId="4A6E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85B1">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0D4F">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D628A">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2E6D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BE3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8F73">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1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1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F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C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BA4B4">
            <w:pPr>
              <w:jc w:val="center"/>
              <w:rPr>
                <w:rFonts w:hint="eastAsia" w:ascii="宋体" w:hAnsi="宋体" w:eastAsia="宋体" w:cs="宋体"/>
                <w:i w:val="0"/>
                <w:iCs w:val="0"/>
                <w:color w:val="000000"/>
                <w:sz w:val="22"/>
                <w:szCs w:val="22"/>
                <w:u w:val="none"/>
              </w:rPr>
            </w:pPr>
          </w:p>
        </w:tc>
      </w:tr>
      <w:tr w14:paraId="4AC5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8966">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4FE82">
            <w:pPr>
              <w:jc w:val="center"/>
              <w:rPr>
                <w:rFonts w:hint="eastAsia" w:ascii="宋体" w:hAnsi="宋体" w:eastAsia="宋体" w:cs="宋体"/>
                <w:i w:val="0"/>
                <w:iCs w:val="0"/>
                <w:color w:val="000000"/>
                <w:sz w:val="22"/>
                <w:szCs w:val="22"/>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92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C4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1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58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7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0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C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AEC4">
            <w:pPr>
              <w:jc w:val="center"/>
              <w:rPr>
                <w:rFonts w:hint="eastAsia" w:ascii="宋体" w:hAnsi="宋体" w:eastAsia="宋体" w:cs="宋体"/>
                <w:i w:val="0"/>
                <w:iCs w:val="0"/>
                <w:color w:val="000000"/>
                <w:sz w:val="22"/>
                <w:szCs w:val="22"/>
                <w:u w:val="none"/>
              </w:rPr>
            </w:pPr>
          </w:p>
        </w:tc>
      </w:tr>
      <w:tr w14:paraId="5290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6DFB">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85E7">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C7031">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1D38">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1429">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B4AE4">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0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3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E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04B4">
            <w:pPr>
              <w:jc w:val="center"/>
              <w:rPr>
                <w:rFonts w:hint="eastAsia" w:ascii="宋体" w:hAnsi="宋体" w:eastAsia="宋体" w:cs="宋体"/>
                <w:i w:val="0"/>
                <w:iCs w:val="0"/>
                <w:color w:val="000000"/>
                <w:sz w:val="22"/>
                <w:szCs w:val="22"/>
                <w:u w:val="none"/>
              </w:rPr>
            </w:pPr>
          </w:p>
        </w:tc>
      </w:tr>
      <w:tr w14:paraId="6F9D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59A5">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A30F">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2BAB">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F92D">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A74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BB044">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7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E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C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A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0C72">
            <w:pPr>
              <w:jc w:val="center"/>
              <w:rPr>
                <w:rFonts w:hint="eastAsia" w:ascii="宋体" w:hAnsi="宋体" w:eastAsia="宋体" w:cs="宋体"/>
                <w:i w:val="0"/>
                <w:iCs w:val="0"/>
                <w:color w:val="000000"/>
                <w:sz w:val="22"/>
                <w:szCs w:val="22"/>
                <w:u w:val="none"/>
              </w:rPr>
            </w:pPr>
          </w:p>
        </w:tc>
      </w:tr>
      <w:tr w14:paraId="6C76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55B63">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CD74">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C197">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4D36">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8133">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9966A">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B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8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E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75E83">
            <w:pPr>
              <w:jc w:val="center"/>
              <w:rPr>
                <w:rFonts w:hint="eastAsia" w:ascii="宋体" w:hAnsi="宋体" w:eastAsia="宋体" w:cs="宋体"/>
                <w:i w:val="0"/>
                <w:iCs w:val="0"/>
                <w:color w:val="000000"/>
                <w:sz w:val="22"/>
                <w:szCs w:val="22"/>
                <w:u w:val="none"/>
              </w:rPr>
            </w:pPr>
          </w:p>
        </w:tc>
      </w:tr>
      <w:tr w14:paraId="158E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9E18">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C1B0">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DB80">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C18B">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2B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5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8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9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2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4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5C628">
            <w:pPr>
              <w:jc w:val="center"/>
              <w:rPr>
                <w:rFonts w:hint="eastAsia" w:ascii="宋体" w:hAnsi="宋体" w:eastAsia="宋体" w:cs="宋体"/>
                <w:i w:val="0"/>
                <w:iCs w:val="0"/>
                <w:color w:val="000000"/>
                <w:sz w:val="22"/>
                <w:szCs w:val="22"/>
                <w:u w:val="none"/>
              </w:rPr>
            </w:pPr>
          </w:p>
        </w:tc>
      </w:tr>
      <w:tr w14:paraId="0DEC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832E6">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819B">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697BF">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08A6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9BF8">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2743">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B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4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081B">
            <w:pPr>
              <w:jc w:val="center"/>
              <w:rPr>
                <w:rFonts w:hint="eastAsia" w:ascii="宋体" w:hAnsi="宋体" w:eastAsia="宋体" w:cs="宋体"/>
                <w:i w:val="0"/>
                <w:iCs w:val="0"/>
                <w:color w:val="000000"/>
                <w:sz w:val="22"/>
                <w:szCs w:val="22"/>
                <w:u w:val="none"/>
              </w:rPr>
            </w:pPr>
          </w:p>
        </w:tc>
      </w:tr>
      <w:tr w14:paraId="6459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FBC5">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000CE">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DDBA1">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C0E0">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B354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21C4">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5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7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CBF9">
            <w:pPr>
              <w:jc w:val="center"/>
              <w:rPr>
                <w:rFonts w:hint="eastAsia" w:ascii="宋体" w:hAnsi="宋体" w:eastAsia="宋体" w:cs="宋体"/>
                <w:i w:val="0"/>
                <w:iCs w:val="0"/>
                <w:color w:val="000000"/>
                <w:sz w:val="22"/>
                <w:szCs w:val="22"/>
                <w:u w:val="none"/>
              </w:rPr>
            </w:pPr>
          </w:p>
        </w:tc>
      </w:tr>
      <w:tr w14:paraId="1632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EF4AC">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EB33">
            <w:pPr>
              <w:jc w:val="center"/>
              <w:rPr>
                <w:rFonts w:hint="eastAsia" w:ascii="宋体" w:hAnsi="宋体" w:eastAsia="宋体" w:cs="宋体"/>
                <w:i w:val="0"/>
                <w:iCs w:val="0"/>
                <w:color w:val="000000"/>
                <w:sz w:val="22"/>
                <w:szCs w:val="22"/>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8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24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CB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60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4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C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A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7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E773">
            <w:pPr>
              <w:jc w:val="center"/>
              <w:rPr>
                <w:rFonts w:hint="eastAsia" w:ascii="宋体" w:hAnsi="宋体" w:eastAsia="宋体" w:cs="宋体"/>
                <w:i w:val="0"/>
                <w:iCs w:val="0"/>
                <w:color w:val="000000"/>
                <w:sz w:val="22"/>
                <w:szCs w:val="22"/>
                <w:u w:val="none"/>
              </w:rPr>
            </w:pPr>
          </w:p>
        </w:tc>
      </w:tr>
      <w:tr w14:paraId="55CC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168F">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5D75F">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AB213">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1CE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D9D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8474">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3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7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C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AED7">
            <w:pPr>
              <w:jc w:val="center"/>
              <w:rPr>
                <w:rFonts w:hint="eastAsia" w:ascii="宋体" w:hAnsi="宋体" w:eastAsia="宋体" w:cs="宋体"/>
                <w:i w:val="0"/>
                <w:iCs w:val="0"/>
                <w:color w:val="000000"/>
                <w:sz w:val="22"/>
                <w:szCs w:val="22"/>
                <w:u w:val="none"/>
              </w:rPr>
            </w:pPr>
          </w:p>
        </w:tc>
      </w:tr>
      <w:tr w14:paraId="26C0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7813">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B3E7">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87B1">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582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D2A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6473">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0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2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8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7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ED40">
            <w:pPr>
              <w:jc w:val="center"/>
              <w:rPr>
                <w:rFonts w:hint="eastAsia" w:ascii="宋体" w:hAnsi="宋体" w:eastAsia="宋体" w:cs="宋体"/>
                <w:i w:val="0"/>
                <w:iCs w:val="0"/>
                <w:color w:val="000000"/>
                <w:sz w:val="22"/>
                <w:szCs w:val="22"/>
                <w:u w:val="none"/>
              </w:rPr>
            </w:pPr>
          </w:p>
        </w:tc>
      </w:tr>
      <w:tr w14:paraId="2889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54A4">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94775">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E598">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215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15EB5">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7DFD">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4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1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7DD6">
            <w:pPr>
              <w:jc w:val="center"/>
              <w:rPr>
                <w:rFonts w:hint="eastAsia" w:ascii="宋体" w:hAnsi="宋体" w:eastAsia="宋体" w:cs="宋体"/>
                <w:i w:val="0"/>
                <w:iCs w:val="0"/>
                <w:color w:val="000000"/>
                <w:sz w:val="22"/>
                <w:szCs w:val="22"/>
                <w:u w:val="none"/>
              </w:rPr>
            </w:pPr>
          </w:p>
        </w:tc>
      </w:tr>
      <w:tr w14:paraId="5BC2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1C68A">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BC67">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4E9D">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059C">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78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1A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F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4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9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974B">
            <w:pPr>
              <w:jc w:val="center"/>
              <w:rPr>
                <w:rFonts w:hint="eastAsia" w:ascii="宋体" w:hAnsi="宋体" w:eastAsia="宋体" w:cs="宋体"/>
                <w:i w:val="0"/>
                <w:iCs w:val="0"/>
                <w:color w:val="000000"/>
                <w:sz w:val="22"/>
                <w:szCs w:val="22"/>
                <w:u w:val="none"/>
              </w:rPr>
            </w:pPr>
          </w:p>
        </w:tc>
      </w:tr>
      <w:tr w14:paraId="783A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D6E2">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F0D9">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1876">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794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1A9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946EA">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7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C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DDE8">
            <w:pPr>
              <w:jc w:val="center"/>
              <w:rPr>
                <w:rFonts w:hint="eastAsia" w:ascii="宋体" w:hAnsi="宋体" w:eastAsia="宋体" w:cs="宋体"/>
                <w:i w:val="0"/>
                <w:iCs w:val="0"/>
                <w:color w:val="000000"/>
                <w:sz w:val="22"/>
                <w:szCs w:val="22"/>
                <w:u w:val="none"/>
              </w:rPr>
            </w:pPr>
          </w:p>
        </w:tc>
      </w:tr>
      <w:tr w14:paraId="10245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F7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60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F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E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6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3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B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F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9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BE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3202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94037">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5DFE2">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EAD4">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AA2E">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4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3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6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6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1F44">
            <w:pPr>
              <w:jc w:val="center"/>
              <w:rPr>
                <w:rFonts w:hint="eastAsia" w:ascii="宋体" w:hAnsi="宋体" w:eastAsia="宋体" w:cs="宋体"/>
                <w:i w:val="0"/>
                <w:iCs w:val="0"/>
                <w:color w:val="000000"/>
                <w:sz w:val="22"/>
                <w:szCs w:val="22"/>
                <w:u w:val="none"/>
              </w:rPr>
            </w:pPr>
          </w:p>
        </w:tc>
      </w:tr>
      <w:tr w14:paraId="3689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9A33">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9C84">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CE7E">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46D0">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60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E2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9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8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0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2AB7">
            <w:pPr>
              <w:jc w:val="center"/>
              <w:rPr>
                <w:rFonts w:hint="eastAsia" w:ascii="宋体" w:hAnsi="宋体" w:eastAsia="宋体" w:cs="宋体"/>
                <w:i w:val="0"/>
                <w:iCs w:val="0"/>
                <w:color w:val="000000"/>
                <w:sz w:val="22"/>
                <w:szCs w:val="22"/>
                <w:u w:val="none"/>
              </w:rPr>
            </w:pPr>
          </w:p>
        </w:tc>
      </w:tr>
      <w:tr w14:paraId="16F5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B02E">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3880">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9D438">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28F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888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A936F">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A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5DF5">
            <w:pPr>
              <w:jc w:val="center"/>
              <w:rPr>
                <w:rFonts w:hint="eastAsia" w:ascii="宋体" w:hAnsi="宋体" w:eastAsia="宋体" w:cs="宋体"/>
                <w:i w:val="0"/>
                <w:iCs w:val="0"/>
                <w:color w:val="000000"/>
                <w:sz w:val="22"/>
                <w:szCs w:val="22"/>
                <w:u w:val="none"/>
              </w:rPr>
            </w:pPr>
          </w:p>
        </w:tc>
      </w:tr>
      <w:tr w14:paraId="5EA6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E8B74">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B73D6">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4B7F">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2548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6509">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61492">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D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B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A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C4FD">
            <w:pPr>
              <w:jc w:val="center"/>
              <w:rPr>
                <w:rFonts w:hint="eastAsia" w:ascii="宋体" w:hAnsi="宋体" w:eastAsia="宋体" w:cs="宋体"/>
                <w:i w:val="0"/>
                <w:iCs w:val="0"/>
                <w:color w:val="000000"/>
                <w:sz w:val="22"/>
                <w:szCs w:val="22"/>
                <w:u w:val="none"/>
              </w:rPr>
            </w:pPr>
          </w:p>
        </w:tc>
      </w:tr>
      <w:tr w14:paraId="5540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1CA71">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C1E1">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090C">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F3B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9E3FD">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EE79">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2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6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8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D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50CC">
            <w:pPr>
              <w:jc w:val="center"/>
              <w:rPr>
                <w:rFonts w:hint="eastAsia" w:ascii="宋体" w:hAnsi="宋体" w:eastAsia="宋体" w:cs="宋体"/>
                <w:i w:val="0"/>
                <w:iCs w:val="0"/>
                <w:color w:val="000000"/>
                <w:sz w:val="22"/>
                <w:szCs w:val="22"/>
                <w:u w:val="none"/>
              </w:rPr>
            </w:pPr>
          </w:p>
        </w:tc>
      </w:tr>
      <w:tr w14:paraId="4D0A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54F1">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0EDE">
            <w:pPr>
              <w:jc w:val="center"/>
              <w:rPr>
                <w:rFonts w:hint="eastAsia" w:ascii="宋体" w:hAnsi="宋体" w:eastAsia="宋体" w:cs="宋体"/>
                <w:i w:val="0"/>
                <w:iCs w:val="0"/>
                <w:color w:val="000000"/>
                <w:sz w:val="22"/>
                <w:szCs w:val="22"/>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B4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5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61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67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3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1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E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F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BC3E">
            <w:pPr>
              <w:jc w:val="center"/>
              <w:rPr>
                <w:rFonts w:hint="eastAsia" w:ascii="宋体" w:hAnsi="宋体" w:eastAsia="宋体" w:cs="宋体"/>
                <w:i w:val="0"/>
                <w:iCs w:val="0"/>
                <w:color w:val="000000"/>
                <w:sz w:val="22"/>
                <w:szCs w:val="22"/>
                <w:u w:val="none"/>
              </w:rPr>
            </w:pPr>
          </w:p>
        </w:tc>
      </w:tr>
      <w:tr w14:paraId="383D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43DC">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7870">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0D3A">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511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CBAC">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17C1">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7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D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3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D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7B19">
            <w:pPr>
              <w:jc w:val="center"/>
              <w:rPr>
                <w:rFonts w:hint="eastAsia" w:ascii="宋体" w:hAnsi="宋体" w:eastAsia="宋体" w:cs="宋体"/>
                <w:i w:val="0"/>
                <w:iCs w:val="0"/>
                <w:color w:val="000000"/>
                <w:sz w:val="22"/>
                <w:szCs w:val="22"/>
                <w:u w:val="none"/>
              </w:rPr>
            </w:pPr>
          </w:p>
        </w:tc>
      </w:tr>
      <w:tr w14:paraId="1825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61E8">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151C">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3862">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0DA0">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31C2">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5876">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9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F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6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9524">
            <w:pPr>
              <w:jc w:val="center"/>
              <w:rPr>
                <w:rFonts w:hint="eastAsia" w:ascii="宋体" w:hAnsi="宋体" w:eastAsia="宋体" w:cs="宋体"/>
                <w:i w:val="0"/>
                <w:iCs w:val="0"/>
                <w:color w:val="000000"/>
                <w:sz w:val="22"/>
                <w:szCs w:val="22"/>
                <w:u w:val="none"/>
              </w:rPr>
            </w:pPr>
          </w:p>
        </w:tc>
      </w:tr>
      <w:tr w14:paraId="5178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1F2F">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54FB">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85D5F">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250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7D8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D423">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E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6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8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5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6A0A">
            <w:pPr>
              <w:jc w:val="center"/>
              <w:rPr>
                <w:rFonts w:hint="eastAsia" w:ascii="宋体" w:hAnsi="宋体" w:eastAsia="宋体" w:cs="宋体"/>
                <w:i w:val="0"/>
                <w:iCs w:val="0"/>
                <w:color w:val="000000"/>
                <w:sz w:val="22"/>
                <w:szCs w:val="22"/>
                <w:u w:val="none"/>
              </w:rPr>
            </w:pPr>
          </w:p>
        </w:tc>
      </w:tr>
      <w:tr w14:paraId="1ED2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56573">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19C2">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E64A">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00E0">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C9B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A259">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B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F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7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841F">
            <w:pPr>
              <w:jc w:val="center"/>
              <w:rPr>
                <w:rFonts w:hint="eastAsia" w:ascii="宋体" w:hAnsi="宋体" w:eastAsia="宋体" w:cs="宋体"/>
                <w:i w:val="0"/>
                <w:iCs w:val="0"/>
                <w:color w:val="000000"/>
                <w:sz w:val="22"/>
                <w:szCs w:val="22"/>
                <w:u w:val="none"/>
              </w:rPr>
            </w:pPr>
          </w:p>
        </w:tc>
      </w:tr>
      <w:tr w14:paraId="4E9E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CAF3">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7D56">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F3EA">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E57D9">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FB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9D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C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4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A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A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D5B2">
            <w:pPr>
              <w:jc w:val="center"/>
              <w:rPr>
                <w:rFonts w:hint="eastAsia" w:ascii="宋体" w:hAnsi="宋体" w:eastAsia="宋体" w:cs="宋体"/>
                <w:i w:val="0"/>
                <w:iCs w:val="0"/>
                <w:color w:val="000000"/>
                <w:sz w:val="22"/>
                <w:szCs w:val="22"/>
                <w:u w:val="none"/>
              </w:rPr>
            </w:pPr>
          </w:p>
        </w:tc>
      </w:tr>
      <w:tr w14:paraId="7326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22A4">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89BB">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5A85">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81D1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93961">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C98B">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3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F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4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6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D46E2">
            <w:pPr>
              <w:jc w:val="center"/>
              <w:rPr>
                <w:rFonts w:hint="eastAsia" w:ascii="宋体" w:hAnsi="宋体" w:eastAsia="宋体" w:cs="宋体"/>
                <w:i w:val="0"/>
                <w:iCs w:val="0"/>
                <w:color w:val="000000"/>
                <w:sz w:val="22"/>
                <w:szCs w:val="22"/>
                <w:u w:val="none"/>
              </w:rPr>
            </w:pPr>
          </w:p>
        </w:tc>
      </w:tr>
      <w:tr w14:paraId="260F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3A2DB">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FF6B">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0313">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30B8">
            <w:pPr>
              <w:jc w:val="center"/>
              <w:rPr>
                <w:rFonts w:hint="eastAsia" w:ascii="宋体" w:hAnsi="宋体" w:eastAsia="宋体" w:cs="宋体"/>
                <w:i w:val="0"/>
                <w:iCs w:val="0"/>
                <w:color w:val="000000"/>
                <w:sz w:val="22"/>
                <w:szCs w:val="22"/>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2F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41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5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6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4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6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1AA4">
            <w:pPr>
              <w:jc w:val="center"/>
              <w:rPr>
                <w:rFonts w:hint="eastAsia" w:ascii="宋体" w:hAnsi="宋体" w:eastAsia="宋体" w:cs="宋体"/>
                <w:i w:val="0"/>
                <w:iCs w:val="0"/>
                <w:color w:val="000000"/>
                <w:sz w:val="22"/>
                <w:szCs w:val="22"/>
                <w:u w:val="none"/>
              </w:rPr>
            </w:pPr>
          </w:p>
        </w:tc>
      </w:tr>
      <w:tr w14:paraId="0C8A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8995">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02B5">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1099">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7C93">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3754">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1CB2">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9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A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C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5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E71DB">
            <w:pPr>
              <w:jc w:val="center"/>
              <w:rPr>
                <w:rFonts w:hint="eastAsia" w:ascii="宋体" w:hAnsi="宋体" w:eastAsia="宋体" w:cs="宋体"/>
                <w:i w:val="0"/>
                <w:iCs w:val="0"/>
                <w:color w:val="000000"/>
                <w:sz w:val="22"/>
                <w:szCs w:val="22"/>
                <w:u w:val="none"/>
              </w:rPr>
            </w:pPr>
          </w:p>
        </w:tc>
      </w:tr>
      <w:tr w14:paraId="4BB8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D8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C7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C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2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5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国土空间总体规划编制实际完成率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E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2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2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完成国土空间总体规划重要专题研究内容，提交委托方和相关部门研讨及征询意见，实际完成率：按照{已完成工作进度}/{计划工作进度}*100%得出指标值，按照（指标值-（60%））/（（100%）-（60%））×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9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0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19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0E1A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CD9E7">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DAEB">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国土空间总体规划编制质量合格率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0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2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完成国土空间总体规划重要专题研究内容，提交委托方和相关部门研讨及征询意见，质量达标率：按照{经费项目质量达标项目数}/1*100%得出指标值，按照（指标值-（60%））/（（100%）-（60%））×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A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0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9CE9">
            <w:pPr>
              <w:jc w:val="center"/>
              <w:rPr>
                <w:rFonts w:hint="eastAsia" w:ascii="宋体" w:hAnsi="宋体" w:eastAsia="宋体" w:cs="宋体"/>
                <w:i w:val="0"/>
                <w:iCs w:val="0"/>
                <w:color w:val="000000"/>
                <w:sz w:val="22"/>
                <w:szCs w:val="22"/>
                <w:u w:val="none"/>
              </w:rPr>
            </w:pPr>
          </w:p>
        </w:tc>
      </w:tr>
      <w:tr w14:paraId="28D8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F369">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ACAF3">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E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F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7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国土空间总体规划编制完成及时率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A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6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完成国土空间总体规划重要专题研究内容，提交委托方和相关部门研讨及征询意见，完成及时率：按照{已完成工作进度}/{计划工作进度}*100%得出指标值，按照（指标值-（60%））/（（100%）-（60%））×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F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3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E252C">
            <w:pPr>
              <w:jc w:val="center"/>
              <w:rPr>
                <w:rFonts w:hint="eastAsia" w:ascii="宋体" w:hAnsi="宋体" w:eastAsia="宋体" w:cs="宋体"/>
                <w:i w:val="0"/>
                <w:iCs w:val="0"/>
                <w:color w:val="000000"/>
                <w:sz w:val="22"/>
                <w:szCs w:val="22"/>
                <w:u w:val="none"/>
              </w:rPr>
            </w:pPr>
          </w:p>
        </w:tc>
      </w:tr>
      <w:tr w14:paraId="580D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50A9">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FA9D">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0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国土空间总体规划编制成本节约率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9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国土空间总体规划重要专题研究内容，提交委托方和相关部门研讨及征询意见，：按照({经费项目计划支出}-{经费项目预计支出})/{经费项目计划支出}*100%得出指标值，按照（指标值-（-10%））/（（0%）-（-10%））× 赋分值得分。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A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E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ED3F">
            <w:pPr>
              <w:jc w:val="center"/>
              <w:rPr>
                <w:rFonts w:hint="eastAsia" w:ascii="宋体" w:hAnsi="宋体" w:eastAsia="宋体" w:cs="宋体"/>
                <w:i w:val="0"/>
                <w:iCs w:val="0"/>
                <w:color w:val="000000"/>
                <w:sz w:val="22"/>
                <w:szCs w:val="22"/>
                <w:u w:val="none"/>
              </w:rPr>
            </w:pPr>
          </w:p>
        </w:tc>
      </w:tr>
      <w:tr w14:paraId="7899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7C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74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57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54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E0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优化城市的空间布局，加强区域间的合作与交流</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03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1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规划，可以优化城市的空间布局，改善城市的交通、环境、文化等方面的问题，提高城市的整体品质。：按照*&lt;计算公式&gt;*得出指标值，按照*&lt;得分公式&gt;*得分。达成目标得100%分，基本达成目标得75%分，部分实现目标得50%分，实现程度较低得25%分，实现程度低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1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E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B0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697C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5D59A">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A188">
            <w:pPr>
              <w:jc w:val="center"/>
              <w:rPr>
                <w:rFonts w:hint="eastAsia" w:ascii="宋体" w:hAnsi="宋体" w:eastAsia="宋体" w:cs="宋体"/>
                <w:i w:val="0"/>
                <w:iCs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EA14E">
            <w:pPr>
              <w:jc w:val="center"/>
              <w:rPr>
                <w:rFonts w:hint="eastAsia" w:ascii="宋体" w:hAnsi="宋体" w:eastAsia="宋体" w:cs="宋体"/>
                <w:i w:val="0"/>
                <w:iCs w:val="0"/>
                <w:color w:val="000000"/>
                <w:sz w:val="22"/>
                <w:szCs w:val="22"/>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DF2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59337">
            <w:pPr>
              <w:jc w:val="center"/>
              <w:rPr>
                <w:rFonts w:hint="eastAsia" w:ascii="宋体" w:hAnsi="宋体" w:eastAsia="宋体" w:cs="宋体"/>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9218">
            <w:pPr>
              <w:jc w:val="center"/>
              <w:rPr>
                <w:rFonts w:hint="eastAsia" w:ascii="宋体" w:hAnsi="宋体" w:eastAsia="宋体" w:cs="宋体"/>
                <w:i w:val="0"/>
                <w:iCs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D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0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规划引导区域间的合作与交流，可以加强区域间的联系和互动，形成优势互补、共同发展的良好局面。：按照*&lt;计算公式&gt;*得出指标值，按照*&lt;得分公式&gt;*得分。达成目标得100%分，基本达成目标得75%分，部分实现目标得50%分，实现程度较低得25%分，实现程度低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4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EDC5">
            <w:pPr>
              <w:jc w:val="center"/>
              <w:rPr>
                <w:rFonts w:hint="eastAsia" w:ascii="宋体" w:hAnsi="宋体" w:eastAsia="宋体" w:cs="宋体"/>
                <w:i w:val="0"/>
                <w:iCs w:val="0"/>
                <w:color w:val="000000"/>
                <w:sz w:val="22"/>
                <w:szCs w:val="22"/>
                <w:u w:val="none"/>
              </w:rPr>
            </w:pPr>
          </w:p>
        </w:tc>
      </w:tr>
      <w:tr w14:paraId="1B78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957C8">
            <w:pPr>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A5CF">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F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8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1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1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2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3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689D">
            <w:pPr>
              <w:jc w:val="center"/>
              <w:rPr>
                <w:rFonts w:hint="eastAsia" w:ascii="宋体" w:hAnsi="宋体" w:eastAsia="宋体" w:cs="宋体"/>
                <w:i w:val="0"/>
                <w:iCs w:val="0"/>
                <w:color w:val="000000"/>
                <w:sz w:val="22"/>
                <w:szCs w:val="22"/>
                <w:u w:val="none"/>
              </w:rPr>
            </w:pPr>
          </w:p>
        </w:tc>
      </w:tr>
      <w:tr w14:paraId="3F46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4C7E">
            <w:pPr>
              <w:rPr>
                <w:rFonts w:hint="eastAsia" w:ascii="宋体" w:hAnsi="宋体" w:eastAsia="宋体" w:cs="宋体"/>
                <w:i w:val="0"/>
                <w:iCs w:val="0"/>
                <w:color w:val="000000"/>
                <w:sz w:val="22"/>
                <w:szCs w:val="22"/>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B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E7A0">
            <w:pP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D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4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7C62">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8AB9">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7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5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bl>
    <w:p w14:paraId="515768CA">
      <w:pPr>
        <w:jc w:val="center"/>
        <w:outlineLvl w:val="0"/>
        <w:rPr>
          <w:rFonts w:hint="default" w:ascii="仿宋" w:hAnsi="仿宋" w:eastAsia="仿宋" w:cs="仿宋"/>
          <w:b/>
          <w:bCs/>
          <w:kern w:val="0"/>
          <w:sz w:val="40"/>
          <w:szCs w:val="40"/>
          <w:lang w:val="en-US" w:eastAsia="zh-CN"/>
        </w:rPr>
      </w:pPr>
    </w:p>
    <w:p w14:paraId="66219FA8">
      <w:pPr>
        <w:spacing w:line="600" w:lineRule="exact"/>
        <w:jc w:val="both"/>
        <w:rPr>
          <w:rFonts w:hint="eastAsia" w:ascii="仿宋" w:hAnsi="仿宋" w:eastAsia="仿宋" w:cs="仿宋"/>
          <w:kern w:val="0"/>
          <w:sz w:val="32"/>
          <w:szCs w:val="32"/>
        </w:rPr>
      </w:pPr>
    </w:p>
    <w:p w14:paraId="468268F4">
      <w:pPr>
        <w:spacing w:line="600" w:lineRule="exact"/>
        <w:jc w:val="both"/>
        <w:rPr>
          <w:rFonts w:hint="eastAsia"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4430FE-C2BE-4357-8B3B-E8E4533AE6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11A7724-D5E6-4574-ACDC-3910713D5BF4}"/>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B157A5F6-5D8B-4E62-99BB-CF18F31FCEC6}"/>
  </w:font>
  <w:font w:name="楷体_GB2312">
    <w:panose1 w:val="02010609060101010101"/>
    <w:charset w:val="86"/>
    <w:family w:val="auto"/>
    <w:pitch w:val="default"/>
    <w:sig w:usb0="800002BF" w:usb1="38CF7CFA" w:usb2="00000016" w:usb3="00000000" w:csb0="00040001" w:csb1="00000000"/>
    <w:embedRegular r:id="rId4" w:fontKey="{90CACCDF-113D-4B13-8FE0-86B167FF905D}"/>
  </w:font>
  <w:font w:name="方正小标宋_GBK">
    <w:panose1 w:val="02000000000000000000"/>
    <w:charset w:val="86"/>
    <w:family w:val="auto"/>
    <w:pitch w:val="default"/>
    <w:sig w:usb0="A00002BF" w:usb1="38CF7CFA" w:usb2="00082016" w:usb3="00000000" w:csb0="00040001" w:csb1="00000000"/>
    <w:embedRegular r:id="rId5" w:fontKey="{5D4BAA99-35FE-4C5C-8316-09688A3E1A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0D142">
    <w:pPr>
      <w:pStyle w:val="8"/>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E4623">
    <w:pPr>
      <w:pStyle w:val="8"/>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0458">
    <w:pPr>
      <w:pStyle w:val="8"/>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0FA5">
    <w:pPr>
      <w:pStyle w:val="8"/>
      <w:tabs>
        <w:tab w:val="center" w:pos="4260"/>
        <w:tab w:val="clear" w:pos="4153"/>
      </w:tabs>
      <w:jc w:val="both"/>
      <w:rPr>
        <w:rFonts w:ascii="仿宋" w:hAnsi="仿宋" w:eastAsia="仿宋" w:cs="仿宋"/>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wp:posOffset>
              </wp:positionV>
              <wp:extent cx="406400" cy="152400"/>
              <wp:effectExtent l="0" t="0" r="12700" b="0"/>
              <wp:wrapNone/>
              <wp:docPr id="12" name="_x0000_s10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6400" cy="1524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86E3030">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square" lIns="0" tIns="0" rIns="0" bIns="0" anchor="t" upright="0">
                      <a:noAutofit/>
                    </wps:bodyPr>
                  </wps:wsp>
                </a:graphicData>
              </a:graphic>
            </wp:anchor>
          </w:drawing>
        </mc:Choice>
        <mc:Fallback>
          <w:pict>
            <v:rect id="_x0000_s1046" o:spid="_x0000_s1026" o:spt="1" style="position:absolute;left:0pt;margin-top:0.1pt;height:12pt;width:32pt;mso-position-horizontal:center;mso-position-horizontal-relative:margin;z-index:251659264;mso-width-relative:page;mso-height-relative:page;" filled="f" stroked="f" coordsize="21600,21600" o:gfxdata="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Iyo79QAAAADAQAADwAAAAAAAAABACAAAAAiAAAAZHJzL2Rvd25y&#10;ZXYueG1sUEsBAhQAFAAAAAgAh07iQLCsBA8CAgAAIQQAAA4AAAAAAAAAAQAgAAAAIwEAAGRycy9l&#10;Mm9Eb2MueG1sUEsFBgAAAAAGAAYAWQEAAJcFAAAAAA==&#10;">
              <v:fill on="f" focussize="0,0"/>
              <v:stroke on="f"/>
              <v:imagedata o:title=""/>
              <o:lock v:ext="edit" aspectratio="t"/>
              <v:textbox inset="0mm,0mm,0mm,0mm">
                <w:txbxContent>
                  <w:p w14:paraId="686E3030">
                    <w:pPr>
                      <w:pStyle w:val="8"/>
                    </w:pPr>
                    <w:r>
                      <w:fldChar w:fldCharType="begin"/>
                    </w:r>
                    <w:r>
                      <w:instrText xml:space="preserve"> PAGE  \* MERGEFORMAT </w:instrText>
                    </w:r>
                    <w:r>
                      <w:fldChar w:fldCharType="separate"/>
                    </w:r>
                    <w:r>
                      <w:t>10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04E2611"/>
    <w:rsid w:val="058A67FB"/>
    <w:rsid w:val="075524D7"/>
    <w:rsid w:val="07A33243"/>
    <w:rsid w:val="0A6C2012"/>
    <w:rsid w:val="0FC91CB4"/>
    <w:rsid w:val="118C4D48"/>
    <w:rsid w:val="12944D29"/>
    <w:rsid w:val="168B3820"/>
    <w:rsid w:val="194523AC"/>
    <w:rsid w:val="19EE47F1"/>
    <w:rsid w:val="1A8C4BAB"/>
    <w:rsid w:val="1CA07AB3"/>
    <w:rsid w:val="220A4192"/>
    <w:rsid w:val="228C4BA7"/>
    <w:rsid w:val="26661BB3"/>
    <w:rsid w:val="27427F2B"/>
    <w:rsid w:val="2DE57862"/>
    <w:rsid w:val="328C7342"/>
    <w:rsid w:val="35066A3B"/>
    <w:rsid w:val="37FF7772"/>
    <w:rsid w:val="3825542A"/>
    <w:rsid w:val="3BA739C7"/>
    <w:rsid w:val="3C08753D"/>
    <w:rsid w:val="3CB34B88"/>
    <w:rsid w:val="3EB41E07"/>
    <w:rsid w:val="3EE55913"/>
    <w:rsid w:val="4E241889"/>
    <w:rsid w:val="5A1D10C0"/>
    <w:rsid w:val="5C5123E2"/>
    <w:rsid w:val="5D826473"/>
    <w:rsid w:val="5E2D4789"/>
    <w:rsid w:val="5EE412EC"/>
    <w:rsid w:val="60AB4474"/>
    <w:rsid w:val="624E59B9"/>
    <w:rsid w:val="67EC1CCE"/>
    <w:rsid w:val="69562486"/>
    <w:rsid w:val="6A107439"/>
    <w:rsid w:val="6BAE6F0A"/>
    <w:rsid w:val="6D716441"/>
    <w:rsid w:val="6DA32372"/>
    <w:rsid w:val="6E5766FA"/>
    <w:rsid w:val="71C72AD3"/>
    <w:rsid w:val="73CF5C6F"/>
    <w:rsid w:val="767B0330"/>
    <w:rsid w:val="768E1E11"/>
    <w:rsid w:val="78AF606F"/>
    <w:rsid w:val="79DF4732"/>
    <w:rsid w:val="7A805F1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paragraph" w:styleId="4">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99"/>
    <w:pPr>
      <w:jc w:val="left"/>
    </w:pPr>
  </w:style>
  <w:style w:type="paragraph" w:styleId="6">
    <w:name w:val="Body Text"/>
    <w:basedOn w:val="1"/>
    <w:qFormat/>
    <w:uiPriority w:val="1"/>
    <w:pPr>
      <w:spacing w:before="102"/>
      <w:ind w:left="112"/>
    </w:pPr>
    <w:rPr>
      <w:sz w:val="28"/>
      <w:szCs w:val="28"/>
    </w:rPr>
  </w:style>
  <w:style w:type="paragraph" w:styleId="7">
    <w:name w:val="Balloon Text"/>
    <w:basedOn w:val="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Autospacing="1" w:afterAutospacing="1"/>
      <w:jc w:val="left"/>
    </w:pPr>
    <w:rPr>
      <w:kern w:val="0"/>
      <w:sz w:val="24"/>
    </w:rPr>
  </w:style>
  <w:style w:type="paragraph" w:styleId="13">
    <w:name w:val="annotation subject"/>
    <w:basedOn w:val="5"/>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qFormat/>
    <w:uiPriority w:val="99"/>
    <w:rPr>
      <w:sz w:val="21"/>
      <w:szCs w:val="21"/>
    </w:rPr>
  </w:style>
  <w:style w:type="paragraph" w:customStyle="1" w:styleId="21">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2">
    <w:name w:val="Char Char Char Char Char Char Char"/>
    <w:basedOn w:val="1"/>
    <w:qFormat/>
    <w:uiPriority w:val="0"/>
    <w:rPr>
      <w:rFonts w:eastAsia="仿宋_GB2312"/>
      <w:sz w:val="30"/>
      <w:szCs w:val="21"/>
    </w:rPr>
  </w:style>
  <w:style w:type="paragraph" w:customStyle="1" w:styleId="23">
    <w:name w:val="正文缩进1"/>
    <w:basedOn w:val="1"/>
    <w:qFormat/>
    <w:uiPriority w:val="0"/>
    <w:pPr>
      <w:ind w:firstLine="420" w:firstLineChars="200"/>
    </w:pPr>
  </w:style>
  <w:style w:type="paragraph" w:customStyle="1" w:styleId="24">
    <w:name w:val="BodyText"/>
    <w:basedOn w:val="1"/>
    <w:qFormat/>
    <w:uiPriority w:val="0"/>
    <w:pPr>
      <w:jc w:val="center"/>
      <w:textAlignment w:val="baseline"/>
    </w:pPr>
    <w:rPr>
      <w:kern w:val="0"/>
      <w:sz w:val="20"/>
      <w:szCs w:val="24"/>
    </w:rPr>
  </w:style>
  <w:style w:type="paragraph" w:customStyle="1" w:styleId="25">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批注文字 字符"/>
    <w:basedOn w:val="16"/>
    <w:qFormat/>
    <w:uiPriority w:val="99"/>
    <w:rPr>
      <w:kern w:val="2"/>
      <w:sz w:val="21"/>
    </w:rPr>
  </w:style>
  <w:style w:type="character" w:customStyle="1" w:styleId="29">
    <w:name w:val="批注主题 字符"/>
    <w:basedOn w:val="28"/>
    <w:qFormat/>
    <w:uiPriority w:val="0"/>
    <w:rPr>
      <w:b/>
      <w:bCs/>
      <w:kern w:val="2"/>
      <w:sz w:val="21"/>
    </w:rPr>
  </w:style>
  <w:style w:type="character" w:customStyle="1" w:styleId="30">
    <w:name w:val="正文文本 字符"/>
    <w:basedOn w:val="16"/>
    <w:qFormat/>
    <w:uiPriority w:val="1"/>
    <w:rPr>
      <w:kern w:val="2"/>
      <w:sz w:val="28"/>
      <w:szCs w:val="28"/>
    </w:rPr>
  </w:style>
  <w:style w:type="character" w:customStyle="1" w:styleId="31">
    <w:name w:val="批注框文本 字符"/>
    <w:basedOn w:val="16"/>
    <w:qFormat/>
    <w:uiPriority w:val="0"/>
    <w:rPr>
      <w:kern w:val="2"/>
      <w:sz w:val="18"/>
      <w:szCs w:val="18"/>
    </w:rPr>
  </w:style>
  <w:style w:type="paragraph" w:customStyle="1" w:styleId="32">
    <w:name w:val="报告模板"/>
    <w:basedOn w:val="2"/>
    <w:next w:val="1"/>
    <w:qFormat/>
    <w:uiPriority w:val="0"/>
    <w:pPr>
      <w:spacing w:before="104" w:line="600" w:lineRule="exact"/>
      <w:ind w:firstLine="672"/>
    </w:pPr>
    <w:rPr>
      <w:rFonts w:hint="eastAsia" w:ascii="黑体" w:hAnsi="黑体" w:eastAsia="黑体" w:cs="黑体"/>
      <w:spacing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02691e5b-2505-4d32-ad6a-7dc29866d4d5}">
  <ds:schemaRefs/>
</ds:datastoreItem>
</file>

<file path=customXml/itemProps4.xml><?xml version="1.0" encoding="utf-8"?>
<ds:datastoreItem xmlns:ds="http://schemas.openxmlformats.org/officeDocument/2006/customXml" ds:itemID="{4bfd1f8a-fac2-4c97-8870-b604f4587e04}">
  <ds:schemaRefs/>
</ds:datastoreItem>
</file>

<file path=customXml/itemProps5.xml><?xml version="1.0" encoding="utf-8"?>
<ds:datastoreItem xmlns:ds="http://schemas.openxmlformats.org/officeDocument/2006/customXml" ds:itemID="{c39ca070-451c-44e0-9875-ca294eee744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9993</Words>
  <Characters>10854</Characters>
  <Lines>38</Lines>
  <Paragraphs>10</Paragraphs>
  <TotalTime>6</TotalTime>
  <ScaleCrop>false</ScaleCrop>
  <LinksUpToDate>false</LinksUpToDate>
  <CharactersWithSpaces>10947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2024-11-13T03:22:49Z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761D6132AC9E49F08170D5FDF7F2B3DF_13</vt:lpwstr>
  </property>
</Properties>
</file>