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6B1D7">
      <w:pPr>
        <w:spacing w:line="248" w:lineRule="auto"/>
        <w:rPr>
          <w:rFonts w:ascii="宋体"/>
        </w:rPr>
      </w:pPr>
    </w:p>
    <w:p w14:paraId="4A20B5F6">
      <w:pPr>
        <w:spacing w:line="248" w:lineRule="auto"/>
        <w:rPr>
          <w:rFonts w:ascii="宋体"/>
        </w:rPr>
      </w:pPr>
      <w:bookmarkStart w:id="0" w:name="_Toc28812"/>
    </w:p>
    <w:p w14:paraId="44B6C376">
      <w:pPr>
        <w:spacing w:line="248" w:lineRule="auto"/>
        <w:rPr>
          <w:rFonts w:ascii="宋体"/>
        </w:rPr>
      </w:pPr>
    </w:p>
    <w:p w14:paraId="74F79845">
      <w:pPr>
        <w:jc w:val="center"/>
        <w:outlineLvl w:val="9"/>
        <w:rPr>
          <w:rFonts w:ascii="楷体" w:hAnsi="楷体" w:eastAsia="楷体" w:cs="楷体"/>
          <w:b/>
          <w:bCs/>
          <w:sz w:val="36"/>
          <w:szCs w:val="36"/>
        </w:rPr>
      </w:pPr>
      <w:bookmarkStart w:id="1" w:name="_Toc24848"/>
      <w:bookmarkStart w:id="2" w:name="_Toc16984"/>
      <w:r>
        <w:rPr>
          <w:rFonts w:ascii="楷体" w:hAnsi="楷体" w:eastAsia="楷体" w:cs="楷体"/>
          <w:b/>
          <w:bCs/>
          <w:sz w:val="36"/>
          <w:szCs w:val="36"/>
        </w:rPr>
        <w:t>2023年度污水处理运行补助</w:t>
      </w:r>
      <w:bookmarkEnd w:id="1"/>
      <w:bookmarkEnd w:id="2"/>
    </w:p>
    <w:p w14:paraId="24D4F43E">
      <w:pPr>
        <w:spacing w:line="248" w:lineRule="auto"/>
        <w:rPr>
          <w:rFonts w:ascii="宋体"/>
        </w:rPr>
      </w:pPr>
    </w:p>
    <w:p w14:paraId="16936238">
      <w:pPr>
        <w:spacing w:line="248" w:lineRule="auto"/>
        <w:rPr>
          <w:rFonts w:ascii="宋体"/>
        </w:rPr>
      </w:pPr>
    </w:p>
    <w:p w14:paraId="0FDF1769">
      <w:pPr>
        <w:spacing w:line="248" w:lineRule="auto"/>
        <w:rPr>
          <w:rFonts w:ascii="宋体"/>
        </w:rPr>
      </w:pPr>
    </w:p>
    <w:p w14:paraId="617D0881">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48E65276">
      <w:pPr>
        <w:spacing w:line="248" w:lineRule="auto"/>
        <w:rPr>
          <w:rFonts w:ascii="宋体"/>
        </w:rPr>
      </w:pPr>
    </w:p>
    <w:p w14:paraId="08047BC6">
      <w:pPr>
        <w:spacing w:line="248" w:lineRule="auto"/>
        <w:rPr>
          <w:rFonts w:ascii="宋体"/>
        </w:rPr>
      </w:pPr>
    </w:p>
    <w:p w14:paraId="722F8FAE">
      <w:pPr>
        <w:spacing w:line="248" w:lineRule="auto"/>
        <w:rPr>
          <w:rFonts w:ascii="宋体"/>
        </w:rPr>
      </w:pPr>
    </w:p>
    <w:p w14:paraId="6330B192">
      <w:pPr>
        <w:spacing w:line="248" w:lineRule="auto"/>
        <w:jc w:val="left"/>
        <w:rPr>
          <w:rFonts w:ascii="宋体"/>
        </w:rPr>
      </w:pPr>
    </w:p>
    <w:p w14:paraId="78166A73">
      <w:pPr>
        <w:spacing w:line="248" w:lineRule="auto"/>
        <w:jc w:val="left"/>
        <w:rPr>
          <w:rFonts w:ascii="宋体"/>
        </w:rPr>
      </w:pPr>
    </w:p>
    <w:p w14:paraId="256F7910">
      <w:pPr>
        <w:spacing w:line="248" w:lineRule="auto"/>
        <w:jc w:val="left"/>
        <w:rPr>
          <w:rFonts w:ascii="宋体"/>
        </w:rPr>
      </w:pPr>
    </w:p>
    <w:p w14:paraId="5BF31D62">
      <w:pPr>
        <w:spacing w:line="248" w:lineRule="auto"/>
        <w:jc w:val="left"/>
        <w:rPr>
          <w:rFonts w:ascii="宋体"/>
        </w:rPr>
      </w:pPr>
    </w:p>
    <w:p w14:paraId="2F6A3AFC">
      <w:pPr>
        <w:spacing w:line="248" w:lineRule="auto"/>
        <w:jc w:val="left"/>
        <w:rPr>
          <w:rFonts w:ascii="宋体"/>
        </w:rPr>
      </w:pPr>
    </w:p>
    <w:p w14:paraId="49979C64">
      <w:pPr>
        <w:spacing w:line="248" w:lineRule="auto"/>
        <w:rPr>
          <w:rFonts w:ascii="宋体"/>
        </w:rPr>
      </w:pPr>
    </w:p>
    <w:p w14:paraId="11BA5A18">
      <w:pPr>
        <w:spacing w:line="248" w:lineRule="auto"/>
        <w:jc w:val="left"/>
        <w:rPr>
          <w:rFonts w:ascii="宋体"/>
        </w:rPr>
      </w:pPr>
    </w:p>
    <w:p w14:paraId="4BF6F420">
      <w:pPr>
        <w:spacing w:line="248" w:lineRule="auto"/>
        <w:jc w:val="left"/>
        <w:rPr>
          <w:rFonts w:ascii="宋体"/>
        </w:rPr>
      </w:pPr>
    </w:p>
    <w:p w14:paraId="01EBD6FA">
      <w:pPr>
        <w:spacing w:line="248" w:lineRule="auto"/>
        <w:jc w:val="left"/>
        <w:rPr>
          <w:rFonts w:ascii="宋体"/>
        </w:rPr>
      </w:pPr>
    </w:p>
    <w:p w14:paraId="2F6737E4">
      <w:pPr>
        <w:spacing w:line="248" w:lineRule="auto"/>
        <w:jc w:val="left"/>
        <w:rPr>
          <w:rFonts w:ascii="宋体"/>
        </w:rPr>
      </w:pPr>
    </w:p>
    <w:p w14:paraId="5115AF38">
      <w:pPr>
        <w:spacing w:line="248" w:lineRule="auto"/>
        <w:jc w:val="left"/>
        <w:rPr>
          <w:rFonts w:ascii="宋体"/>
        </w:rPr>
      </w:pPr>
    </w:p>
    <w:p w14:paraId="2F532DD2">
      <w:pPr>
        <w:spacing w:line="248" w:lineRule="auto"/>
        <w:jc w:val="left"/>
        <w:rPr>
          <w:rFonts w:ascii="宋体"/>
        </w:rPr>
      </w:pPr>
    </w:p>
    <w:p w14:paraId="725A8795">
      <w:pPr>
        <w:spacing w:line="248" w:lineRule="auto"/>
        <w:rPr>
          <w:rFonts w:ascii="宋体"/>
        </w:rPr>
      </w:pPr>
    </w:p>
    <w:p w14:paraId="2EB27881">
      <w:pPr>
        <w:widowControl/>
        <w:spacing w:line="600" w:lineRule="exact"/>
        <w:ind w:firstLine="1280" w:firstLineChars="400"/>
        <w:jc w:val="left"/>
        <w:rPr>
          <w:rFonts w:ascii="仿宋" w:hAnsi="仿宋" w:eastAsia="仿宋" w:cs="仿宋"/>
          <w:sz w:val="32"/>
          <w:szCs w:val="32"/>
        </w:rPr>
      </w:pPr>
      <w:r>
        <w:rPr>
          <w:rFonts w:ascii="楷体" w:hAnsi="楷体" w:eastAsia="楷体" w:cs="楷体"/>
          <w:color w:val="000000"/>
          <w:kern w:val="0"/>
          <w:sz w:val="32"/>
          <w:szCs w:val="32"/>
        </w:rPr>
        <w:t>主管部门：扶风县住房和城乡建设局</w:t>
      </w:r>
    </w:p>
    <w:p w14:paraId="18489E90">
      <w:pPr>
        <w:widowControl/>
        <w:spacing w:line="600" w:lineRule="exact"/>
        <w:ind w:left="2557" w:leftChars="608" w:hanging="1280" w:hangingChars="400"/>
        <w:jc w:val="left"/>
        <w:rPr>
          <w:rFonts w:ascii="仿宋" w:hAnsi="仿宋" w:eastAsia="仿宋" w:cs="仿宋"/>
          <w:sz w:val="32"/>
          <w:szCs w:val="32"/>
        </w:rPr>
      </w:pPr>
      <w:r>
        <w:rPr>
          <w:rFonts w:hint="eastAsia" w:ascii="楷体" w:hAnsi="楷体" w:eastAsia="楷体" w:cs="楷体"/>
          <w:color w:val="000000"/>
          <w:kern w:val="0"/>
          <w:sz w:val="32"/>
          <w:szCs w:val="32"/>
        </w:rPr>
        <w:t>项目单位：扶风县住房和城乡建设局</w:t>
      </w:r>
    </w:p>
    <w:p w14:paraId="354D6A4B">
      <w:pPr>
        <w:widowControl/>
        <w:spacing w:line="600" w:lineRule="exact"/>
        <w:ind w:firstLine="1280" w:firstLineChars="400"/>
        <w:rPr>
          <w:rFonts w:ascii="仿宋" w:hAnsi="仿宋" w:eastAsia="楷体" w:cs="仿宋"/>
          <w:sz w:val="32"/>
          <w:szCs w:val="32"/>
        </w:rPr>
      </w:pPr>
      <w:r>
        <w:rPr>
          <w:rFonts w:hint="eastAsia" w:ascii="楷体" w:hAnsi="楷体" w:eastAsia="楷体" w:cs="楷体"/>
          <w:color w:val="000000"/>
          <w:kern w:val="0"/>
          <w:sz w:val="32"/>
          <w:szCs w:val="32"/>
        </w:rPr>
        <w:t>评价机构：扶风县财政局</w:t>
      </w:r>
    </w:p>
    <w:p w14:paraId="5B59B76B">
      <w:pPr>
        <w:widowControl/>
        <w:spacing w:line="600" w:lineRule="exact"/>
        <w:ind w:firstLine="1280" w:firstLineChars="4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年6月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p w14:paraId="19290E25">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36"/>
          <w:szCs w:val="36"/>
        </w:rPr>
      </w:sdtEndPr>
      <w:sdtContent>
        <w:p w14:paraId="4F669111">
          <w:pPr>
            <w:jc w:val="center"/>
            <w:rPr>
              <w:rFonts w:ascii="Times New Roman" w:hAnsi="Times New Roman" w:eastAsia="宋体" w:cs="Times New Roman"/>
              <w:b/>
              <w:kern w:val="2"/>
              <w:sz w:val="21"/>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fldChar w:fldCharType="begin"/>
          </w:r>
          <w:r>
            <w:instrText xml:space="preserve">TOC \o "1-2" \h \u</w:instrText>
          </w:r>
          <w:r>
            <w:fldChar w:fldCharType="separate"/>
          </w:r>
        </w:p>
        <w:p w14:paraId="518DD149">
          <w:pPr>
            <w:pStyle w:val="9"/>
            <w:tabs>
              <w:tab w:val="right" w:leader="dot" w:pos="8250"/>
            </w:tabs>
            <w:rPr>
              <w:sz w:val="28"/>
              <w:szCs w:val="24"/>
            </w:rPr>
          </w:pPr>
          <w:r>
            <w:rPr>
              <w:sz w:val="28"/>
              <w:szCs w:val="24"/>
            </w:rPr>
            <w:fldChar w:fldCharType="begin"/>
          </w:r>
          <w:r>
            <w:rPr>
              <w:sz w:val="28"/>
              <w:szCs w:val="24"/>
            </w:rPr>
            <w:instrText xml:space="preserve"> HYPERLINK \l _Toc17506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_Toc17506 \h </w:instrText>
          </w:r>
          <w:r>
            <w:rPr>
              <w:sz w:val="28"/>
              <w:szCs w:val="24"/>
            </w:rPr>
            <w:fldChar w:fldCharType="separate"/>
          </w:r>
          <w:r>
            <w:rPr>
              <w:sz w:val="28"/>
              <w:szCs w:val="24"/>
            </w:rPr>
            <w:t>1</w:t>
          </w:r>
          <w:r>
            <w:rPr>
              <w:sz w:val="28"/>
              <w:szCs w:val="24"/>
            </w:rPr>
            <w:fldChar w:fldCharType="end"/>
          </w:r>
          <w:r>
            <w:rPr>
              <w:sz w:val="28"/>
              <w:szCs w:val="24"/>
            </w:rPr>
            <w:fldChar w:fldCharType="end"/>
          </w:r>
        </w:p>
        <w:p w14:paraId="6A45D5C2">
          <w:pPr>
            <w:pStyle w:val="9"/>
            <w:tabs>
              <w:tab w:val="right" w:leader="dot" w:pos="8250"/>
            </w:tabs>
            <w:rPr>
              <w:sz w:val="28"/>
              <w:szCs w:val="24"/>
            </w:rPr>
          </w:pPr>
          <w:r>
            <w:rPr>
              <w:sz w:val="28"/>
              <w:szCs w:val="24"/>
            </w:rPr>
            <w:fldChar w:fldCharType="begin"/>
          </w:r>
          <w:r>
            <w:rPr>
              <w:sz w:val="28"/>
              <w:szCs w:val="24"/>
            </w:rPr>
            <w:instrText xml:space="preserve"> HYPERLINK \l _Toc27074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_Toc27074 \h </w:instrText>
          </w:r>
          <w:r>
            <w:rPr>
              <w:sz w:val="28"/>
              <w:szCs w:val="24"/>
            </w:rPr>
            <w:fldChar w:fldCharType="separate"/>
          </w:r>
          <w:r>
            <w:rPr>
              <w:sz w:val="28"/>
              <w:szCs w:val="24"/>
            </w:rPr>
            <w:t>1</w:t>
          </w:r>
          <w:r>
            <w:rPr>
              <w:sz w:val="28"/>
              <w:szCs w:val="24"/>
            </w:rPr>
            <w:fldChar w:fldCharType="end"/>
          </w:r>
          <w:r>
            <w:rPr>
              <w:sz w:val="28"/>
              <w:szCs w:val="24"/>
            </w:rPr>
            <w:fldChar w:fldCharType="end"/>
          </w:r>
        </w:p>
        <w:p w14:paraId="6A0CA5BF">
          <w:pPr>
            <w:pStyle w:val="10"/>
            <w:tabs>
              <w:tab w:val="right" w:leader="dot" w:pos="8250"/>
            </w:tabs>
            <w:rPr>
              <w:sz w:val="28"/>
              <w:szCs w:val="24"/>
            </w:rPr>
          </w:pPr>
          <w:r>
            <w:rPr>
              <w:sz w:val="28"/>
              <w:szCs w:val="24"/>
            </w:rPr>
            <w:fldChar w:fldCharType="begin"/>
          </w:r>
          <w:r>
            <w:rPr>
              <w:sz w:val="28"/>
              <w:szCs w:val="24"/>
            </w:rPr>
            <w:instrText xml:space="preserve"> HYPERLINK \l _Toc23734 </w:instrText>
          </w:r>
          <w:r>
            <w:rPr>
              <w:sz w:val="28"/>
              <w:szCs w:val="24"/>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_Toc23734 \h </w:instrText>
          </w:r>
          <w:r>
            <w:rPr>
              <w:sz w:val="28"/>
              <w:szCs w:val="24"/>
            </w:rPr>
            <w:fldChar w:fldCharType="separate"/>
          </w:r>
          <w:r>
            <w:rPr>
              <w:sz w:val="28"/>
              <w:szCs w:val="24"/>
            </w:rPr>
            <w:t>1</w:t>
          </w:r>
          <w:r>
            <w:rPr>
              <w:sz w:val="28"/>
              <w:szCs w:val="24"/>
            </w:rPr>
            <w:fldChar w:fldCharType="end"/>
          </w:r>
          <w:r>
            <w:rPr>
              <w:sz w:val="28"/>
              <w:szCs w:val="24"/>
            </w:rPr>
            <w:fldChar w:fldCharType="end"/>
          </w:r>
        </w:p>
        <w:p w14:paraId="30A299A7">
          <w:pPr>
            <w:pStyle w:val="10"/>
            <w:tabs>
              <w:tab w:val="right" w:leader="dot" w:pos="8250"/>
            </w:tabs>
            <w:rPr>
              <w:sz w:val="28"/>
              <w:szCs w:val="24"/>
            </w:rPr>
          </w:pPr>
          <w:r>
            <w:rPr>
              <w:sz w:val="28"/>
              <w:szCs w:val="24"/>
            </w:rPr>
            <w:fldChar w:fldCharType="begin"/>
          </w:r>
          <w:r>
            <w:rPr>
              <w:sz w:val="28"/>
              <w:szCs w:val="24"/>
            </w:rPr>
            <w:instrText xml:space="preserve"> HYPERLINK \l _Toc1550 </w:instrText>
          </w:r>
          <w:r>
            <w:rPr>
              <w:sz w:val="28"/>
              <w:szCs w:val="24"/>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_Toc1550 \h </w:instrText>
          </w:r>
          <w:r>
            <w:rPr>
              <w:sz w:val="28"/>
              <w:szCs w:val="24"/>
            </w:rPr>
            <w:fldChar w:fldCharType="separate"/>
          </w:r>
          <w:r>
            <w:rPr>
              <w:sz w:val="28"/>
              <w:szCs w:val="24"/>
            </w:rPr>
            <w:t>2</w:t>
          </w:r>
          <w:r>
            <w:rPr>
              <w:sz w:val="28"/>
              <w:szCs w:val="24"/>
            </w:rPr>
            <w:fldChar w:fldCharType="end"/>
          </w:r>
          <w:r>
            <w:rPr>
              <w:sz w:val="28"/>
              <w:szCs w:val="24"/>
            </w:rPr>
            <w:fldChar w:fldCharType="end"/>
          </w:r>
        </w:p>
        <w:p w14:paraId="0A9CA939">
          <w:pPr>
            <w:pStyle w:val="9"/>
            <w:tabs>
              <w:tab w:val="right" w:leader="dot" w:pos="8250"/>
            </w:tabs>
            <w:rPr>
              <w:sz w:val="28"/>
              <w:szCs w:val="24"/>
            </w:rPr>
          </w:pPr>
          <w:r>
            <w:rPr>
              <w:sz w:val="28"/>
              <w:szCs w:val="24"/>
            </w:rPr>
            <w:fldChar w:fldCharType="begin"/>
          </w:r>
          <w:r>
            <w:rPr>
              <w:sz w:val="28"/>
              <w:szCs w:val="24"/>
            </w:rPr>
            <w:instrText xml:space="preserve"> HYPERLINK \l _Toc16666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_Toc16666 \h </w:instrText>
          </w:r>
          <w:r>
            <w:rPr>
              <w:sz w:val="28"/>
              <w:szCs w:val="24"/>
            </w:rPr>
            <w:fldChar w:fldCharType="separate"/>
          </w:r>
          <w:r>
            <w:rPr>
              <w:sz w:val="28"/>
              <w:szCs w:val="24"/>
            </w:rPr>
            <w:t>3</w:t>
          </w:r>
          <w:r>
            <w:rPr>
              <w:sz w:val="28"/>
              <w:szCs w:val="24"/>
            </w:rPr>
            <w:fldChar w:fldCharType="end"/>
          </w:r>
          <w:r>
            <w:rPr>
              <w:sz w:val="28"/>
              <w:szCs w:val="24"/>
            </w:rPr>
            <w:fldChar w:fldCharType="end"/>
          </w:r>
        </w:p>
        <w:p w14:paraId="7F89AD4B">
          <w:pPr>
            <w:pStyle w:val="10"/>
            <w:tabs>
              <w:tab w:val="right" w:leader="dot" w:pos="8250"/>
            </w:tabs>
            <w:rPr>
              <w:sz w:val="28"/>
              <w:szCs w:val="24"/>
            </w:rPr>
          </w:pPr>
          <w:r>
            <w:rPr>
              <w:sz w:val="28"/>
              <w:szCs w:val="24"/>
            </w:rPr>
            <w:fldChar w:fldCharType="begin"/>
          </w:r>
          <w:r>
            <w:rPr>
              <w:sz w:val="28"/>
              <w:szCs w:val="24"/>
            </w:rPr>
            <w:instrText xml:space="preserve"> HYPERLINK \l _Toc29096 </w:instrText>
          </w:r>
          <w:r>
            <w:rPr>
              <w:sz w:val="28"/>
              <w:szCs w:val="24"/>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_Toc29096 \h </w:instrText>
          </w:r>
          <w:r>
            <w:rPr>
              <w:sz w:val="28"/>
              <w:szCs w:val="24"/>
            </w:rPr>
            <w:fldChar w:fldCharType="separate"/>
          </w:r>
          <w:r>
            <w:rPr>
              <w:sz w:val="28"/>
              <w:szCs w:val="24"/>
            </w:rPr>
            <w:t>3</w:t>
          </w:r>
          <w:r>
            <w:rPr>
              <w:sz w:val="28"/>
              <w:szCs w:val="24"/>
            </w:rPr>
            <w:fldChar w:fldCharType="end"/>
          </w:r>
          <w:r>
            <w:rPr>
              <w:sz w:val="28"/>
              <w:szCs w:val="24"/>
            </w:rPr>
            <w:fldChar w:fldCharType="end"/>
          </w:r>
        </w:p>
        <w:p w14:paraId="74BEC0E9">
          <w:pPr>
            <w:pStyle w:val="10"/>
            <w:tabs>
              <w:tab w:val="right" w:leader="dot" w:pos="8250"/>
            </w:tabs>
            <w:rPr>
              <w:sz w:val="28"/>
              <w:szCs w:val="24"/>
            </w:rPr>
          </w:pPr>
          <w:r>
            <w:rPr>
              <w:sz w:val="28"/>
              <w:szCs w:val="24"/>
            </w:rPr>
            <w:fldChar w:fldCharType="begin"/>
          </w:r>
          <w:r>
            <w:rPr>
              <w:sz w:val="28"/>
              <w:szCs w:val="24"/>
            </w:rPr>
            <w:instrText xml:space="preserve"> HYPERLINK \l _Toc26139 </w:instrText>
          </w:r>
          <w:r>
            <w:rPr>
              <w:sz w:val="28"/>
              <w:szCs w:val="24"/>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_Toc26139 \h </w:instrText>
          </w:r>
          <w:r>
            <w:rPr>
              <w:sz w:val="28"/>
              <w:szCs w:val="24"/>
            </w:rPr>
            <w:fldChar w:fldCharType="separate"/>
          </w:r>
          <w:r>
            <w:rPr>
              <w:sz w:val="28"/>
              <w:szCs w:val="24"/>
            </w:rPr>
            <w:t>4</w:t>
          </w:r>
          <w:r>
            <w:rPr>
              <w:sz w:val="28"/>
              <w:szCs w:val="24"/>
            </w:rPr>
            <w:fldChar w:fldCharType="end"/>
          </w:r>
          <w:r>
            <w:rPr>
              <w:sz w:val="28"/>
              <w:szCs w:val="24"/>
            </w:rPr>
            <w:fldChar w:fldCharType="end"/>
          </w:r>
        </w:p>
        <w:p w14:paraId="2D0A6BA2">
          <w:pPr>
            <w:pStyle w:val="10"/>
            <w:tabs>
              <w:tab w:val="right" w:leader="dot" w:pos="8250"/>
            </w:tabs>
            <w:rPr>
              <w:sz w:val="28"/>
              <w:szCs w:val="24"/>
            </w:rPr>
          </w:pPr>
          <w:r>
            <w:rPr>
              <w:sz w:val="28"/>
              <w:szCs w:val="24"/>
            </w:rPr>
            <w:fldChar w:fldCharType="begin"/>
          </w:r>
          <w:r>
            <w:rPr>
              <w:sz w:val="28"/>
              <w:szCs w:val="24"/>
            </w:rPr>
            <w:instrText xml:space="preserve"> HYPERLINK \l _Toc13530 </w:instrText>
          </w:r>
          <w:r>
            <w:rPr>
              <w:sz w:val="28"/>
              <w:szCs w:val="24"/>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_Toc13530 \h </w:instrText>
          </w:r>
          <w:r>
            <w:rPr>
              <w:sz w:val="28"/>
              <w:szCs w:val="24"/>
            </w:rPr>
            <w:fldChar w:fldCharType="separate"/>
          </w:r>
          <w:r>
            <w:rPr>
              <w:sz w:val="28"/>
              <w:szCs w:val="24"/>
            </w:rPr>
            <w:t>7</w:t>
          </w:r>
          <w:r>
            <w:rPr>
              <w:sz w:val="28"/>
              <w:szCs w:val="24"/>
            </w:rPr>
            <w:fldChar w:fldCharType="end"/>
          </w:r>
          <w:r>
            <w:rPr>
              <w:sz w:val="28"/>
              <w:szCs w:val="24"/>
            </w:rPr>
            <w:fldChar w:fldCharType="end"/>
          </w:r>
        </w:p>
        <w:p w14:paraId="6BDAEB36">
          <w:pPr>
            <w:pStyle w:val="9"/>
            <w:tabs>
              <w:tab w:val="right" w:leader="dot" w:pos="8250"/>
            </w:tabs>
            <w:rPr>
              <w:sz w:val="28"/>
              <w:szCs w:val="24"/>
            </w:rPr>
          </w:pPr>
          <w:r>
            <w:rPr>
              <w:sz w:val="28"/>
              <w:szCs w:val="24"/>
            </w:rPr>
            <w:fldChar w:fldCharType="begin"/>
          </w:r>
          <w:r>
            <w:rPr>
              <w:sz w:val="28"/>
              <w:szCs w:val="24"/>
            </w:rPr>
            <w:instrText xml:space="preserve"> HYPERLINK \l _Toc18689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_Toc18689 \h </w:instrText>
          </w:r>
          <w:r>
            <w:rPr>
              <w:sz w:val="28"/>
              <w:szCs w:val="24"/>
            </w:rPr>
            <w:fldChar w:fldCharType="separate"/>
          </w:r>
          <w:r>
            <w:rPr>
              <w:sz w:val="28"/>
              <w:szCs w:val="24"/>
            </w:rPr>
            <w:t>9</w:t>
          </w:r>
          <w:r>
            <w:rPr>
              <w:sz w:val="28"/>
              <w:szCs w:val="24"/>
            </w:rPr>
            <w:fldChar w:fldCharType="end"/>
          </w:r>
          <w:r>
            <w:rPr>
              <w:sz w:val="28"/>
              <w:szCs w:val="24"/>
            </w:rPr>
            <w:fldChar w:fldCharType="end"/>
          </w:r>
        </w:p>
        <w:p w14:paraId="4D0871B5">
          <w:pPr>
            <w:pStyle w:val="9"/>
            <w:tabs>
              <w:tab w:val="right" w:leader="dot" w:pos="8250"/>
            </w:tabs>
            <w:rPr>
              <w:sz w:val="28"/>
              <w:szCs w:val="24"/>
            </w:rPr>
          </w:pPr>
          <w:r>
            <w:rPr>
              <w:sz w:val="28"/>
              <w:szCs w:val="24"/>
            </w:rPr>
            <w:fldChar w:fldCharType="begin"/>
          </w:r>
          <w:r>
            <w:rPr>
              <w:sz w:val="28"/>
              <w:szCs w:val="24"/>
            </w:rPr>
            <w:instrText xml:space="preserve"> HYPERLINK \l _Toc15697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_Toc15697 \h </w:instrText>
          </w:r>
          <w:r>
            <w:rPr>
              <w:sz w:val="28"/>
              <w:szCs w:val="24"/>
            </w:rPr>
            <w:fldChar w:fldCharType="separate"/>
          </w:r>
          <w:r>
            <w:rPr>
              <w:sz w:val="28"/>
              <w:szCs w:val="24"/>
            </w:rPr>
            <w:t>10</w:t>
          </w:r>
          <w:r>
            <w:rPr>
              <w:sz w:val="28"/>
              <w:szCs w:val="24"/>
            </w:rPr>
            <w:fldChar w:fldCharType="end"/>
          </w:r>
          <w:r>
            <w:rPr>
              <w:sz w:val="28"/>
              <w:szCs w:val="24"/>
            </w:rPr>
            <w:fldChar w:fldCharType="end"/>
          </w:r>
        </w:p>
        <w:p w14:paraId="2A2C365E">
          <w:pPr>
            <w:pStyle w:val="10"/>
            <w:tabs>
              <w:tab w:val="right" w:leader="dot" w:pos="8250"/>
            </w:tabs>
            <w:rPr>
              <w:sz w:val="28"/>
              <w:szCs w:val="24"/>
            </w:rPr>
          </w:pPr>
          <w:r>
            <w:rPr>
              <w:sz w:val="28"/>
              <w:szCs w:val="24"/>
            </w:rPr>
            <w:fldChar w:fldCharType="begin"/>
          </w:r>
          <w:r>
            <w:rPr>
              <w:sz w:val="28"/>
              <w:szCs w:val="24"/>
            </w:rPr>
            <w:instrText xml:space="preserve"> HYPERLINK \l _Toc30787 </w:instrText>
          </w:r>
          <w:r>
            <w:rPr>
              <w:sz w:val="28"/>
              <w:szCs w:val="24"/>
            </w:rPr>
            <w:fldChar w:fldCharType="separate"/>
          </w:r>
          <w:r>
            <w:rPr>
              <w:rFonts w:hint="eastAsia" w:ascii="楷体_GB2312" w:hAnsi="楷体_GB2312" w:eastAsia="楷体_GB2312" w:cs="楷体_GB2312"/>
              <w:bCs/>
              <w:kern w:val="0"/>
              <w:sz w:val="28"/>
              <w:szCs w:val="44"/>
            </w:rPr>
            <w:t>（一）决策指标</w:t>
          </w:r>
          <w:r>
            <w:rPr>
              <w:sz w:val="28"/>
              <w:szCs w:val="24"/>
            </w:rPr>
            <w:tab/>
          </w:r>
          <w:r>
            <w:rPr>
              <w:sz w:val="28"/>
              <w:szCs w:val="24"/>
            </w:rPr>
            <w:fldChar w:fldCharType="begin"/>
          </w:r>
          <w:r>
            <w:rPr>
              <w:sz w:val="28"/>
              <w:szCs w:val="24"/>
            </w:rPr>
            <w:instrText xml:space="preserve"> PAGEREF _Toc30787 \h </w:instrText>
          </w:r>
          <w:r>
            <w:rPr>
              <w:sz w:val="28"/>
              <w:szCs w:val="24"/>
            </w:rPr>
            <w:fldChar w:fldCharType="separate"/>
          </w:r>
          <w:r>
            <w:rPr>
              <w:sz w:val="28"/>
              <w:szCs w:val="24"/>
            </w:rPr>
            <w:t>10</w:t>
          </w:r>
          <w:r>
            <w:rPr>
              <w:sz w:val="28"/>
              <w:szCs w:val="24"/>
            </w:rPr>
            <w:fldChar w:fldCharType="end"/>
          </w:r>
          <w:r>
            <w:rPr>
              <w:sz w:val="28"/>
              <w:szCs w:val="24"/>
            </w:rPr>
            <w:fldChar w:fldCharType="end"/>
          </w:r>
        </w:p>
        <w:p w14:paraId="620A2E90">
          <w:pPr>
            <w:pStyle w:val="10"/>
            <w:tabs>
              <w:tab w:val="right" w:leader="dot" w:pos="8250"/>
            </w:tabs>
            <w:rPr>
              <w:sz w:val="28"/>
              <w:szCs w:val="24"/>
            </w:rPr>
          </w:pPr>
          <w:r>
            <w:rPr>
              <w:sz w:val="28"/>
              <w:szCs w:val="24"/>
            </w:rPr>
            <w:fldChar w:fldCharType="begin"/>
          </w:r>
          <w:r>
            <w:rPr>
              <w:sz w:val="28"/>
              <w:szCs w:val="24"/>
            </w:rPr>
            <w:instrText xml:space="preserve"> HYPERLINK \l _Toc16697 </w:instrText>
          </w:r>
          <w:r>
            <w:rPr>
              <w:sz w:val="28"/>
              <w:szCs w:val="24"/>
            </w:rPr>
            <w:fldChar w:fldCharType="separate"/>
          </w:r>
          <w:r>
            <w:rPr>
              <w:rFonts w:hint="eastAsia" w:ascii="楷体_GB2312" w:hAnsi="楷体_GB2312" w:eastAsia="楷体_GB2312" w:cs="楷体_GB2312"/>
              <w:bCs/>
              <w:kern w:val="0"/>
              <w:sz w:val="28"/>
              <w:szCs w:val="44"/>
            </w:rPr>
            <w:t>（二）过程指标</w:t>
          </w:r>
          <w:r>
            <w:rPr>
              <w:sz w:val="28"/>
              <w:szCs w:val="24"/>
            </w:rPr>
            <w:tab/>
          </w:r>
          <w:r>
            <w:rPr>
              <w:sz w:val="28"/>
              <w:szCs w:val="24"/>
            </w:rPr>
            <w:fldChar w:fldCharType="begin"/>
          </w:r>
          <w:r>
            <w:rPr>
              <w:sz w:val="28"/>
              <w:szCs w:val="24"/>
            </w:rPr>
            <w:instrText xml:space="preserve"> PAGEREF _Toc16697 \h </w:instrText>
          </w:r>
          <w:r>
            <w:rPr>
              <w:sz w:val="28"/>
              <w:szCs w:val="24"/>
            </w:rPr>
            <w:fldChar w:fldCharType="separate"/>
          </w:r>
          <w:r>
            <w:rPr>
              <w:sz w:val="28"/>
              <w:szCs w:val="24"/>
            </w:rPr>
            <w:t>13</w:t>
          </w:r>
          <w:r>
            <w:rPr>
              <w:sz w:val="28"/>
              <w:szCs w:val="24"/>
            </w:rPr>
            <w:fldChar w:fldCharType="end"/>
          </w:r>
          <w:r>
            <w:rPr>
              <w:sz w:val="28"/>
              <w:szCs w:val="24"/>
            </w:rPr>
            <w:fldChar w:fldCharType="end"/>
          </w:r>
        </w:p>
        <w:p w14:paraId="315B90FD">
          <w:pPr>
            <w:pStyle w:val="10"/>
            <w:tabs>
              <w:tab w:val="right" w:leader="dot" w:pos="8250"/>
            </w:tabs>
            <w:rPr>
              <w:sz w:val="28"/>
              <w:szCs w:val="24"/>
            </w:rPr>
          </w:pPr>
          <w:r>
            <w:rPr>
              <w:sz w:val="28"/>
              <w:szCs w:val="24"/>
            </w:rPr>
            <w:fldChar w:fldCharType="begin"/>
          </w:r>
          <w:r>
            <w:rPr>
              <w:sz w:val="28"/>
              <w:szCs w:val="24"/>
            </w:rPr>
            <w:instrText xml:space="preserve"> HYPERLINK \l _Toc29862 </w:instrText>
          </w:r>
          <w:r>
            <w:rPr>
              <w:sz w:val="28"/>
              <w:szCs w:val="24"/>
            </w:rPr>
            <w:fldChar w:fldCharType="separate"/>
          </w:r>
          <w:r>
            <w:rPr>
              <w:rFonts w:hint="eastAsia" w:ascii="楷体_GB2312" w:hAnsi="楷体_GB2312" w:eastAsia="楷体_GB2312" w:cs="楷体_GB2312"/>
              <w:bCs/>
              <w:kern w:val="0"/>
              <w:sz w:val="28"/>
              <w:szCs w:val="44"/>
            </w:rPr>
            <w:t>（三）产出指标</w:t>
          </w:r>
          <w:r>
            <w:rPr>
              <w:sz w:val="28"/>
              <w:szCs w:val="24"/>
            </w:rPr>
            <w:tab/>
          </w:r>
          <w:r>
            <w:rPr>
              <w:sz w:val="28"/>
              <w:szCs w:val="24"/>
            </w:rPr>
            <w:fldChar w:fldCharType="begin"/>
          </w:r>
          <w:r>
            <w:rPr>
              <w:sz w:val="28"/>
              <w:szCs w:val="24"/>
            </w:rPr>
            <w:instrText xml:space="preserve"> PAGEREF _Toc29862 \h </w:instrText>
          </w:r>
          <w:r>
            <w:rPr>
              <w:sz w:val="28"/>
              <w:szCs w:val="24"/>
            </w:rPr>
            <w:fldChar w:fldCharType="separate"/>
          </w:r>
          <w:r>
            <w:rPr>
              <w:sz w:val="28"/>
              <w:szCs w:val="24"/>
            </w:rPr>
            <w:t>15</w:t>
          </w:r>
          <w:r>
            <w:rPr>
              <w:sz w:val="28"/>
              <w:szCs w:val="24"/>
            </w:rPr>
            <w:fldChar w:fldCharType="end"/>
          </w:r>
          <w:r>
            <w:rPr>
              <w:sz w:val="28"/>
              <w:szCs w:val="24"/>
            </w:rPr>
            <w:fldChar w:fldCharType="end"/>
          </w:r>
        </w:p>
        <w:p w14:paraId="7F5B660B">
          <w:pPr>
            <w:pStyle w:val="10"/>
            <w:tabs>
              <w:tab w:val="right" w:leader="dot" w:pos="8250"/>
            </w:tabs>
            <w:rPr>
              <w:sz w:val="28"/>
              <w:szCs w:val="24"/>
            </w:rPr>
          </w:pPr>
          <w:r>
            <w:rPr>
              <w:sz w:val="28"/>
              <w:szCs w:val="24"/>
            </w:rPr>
            <w:fldChar w:fldCharType="begin"/>
          </w:r>
          <w:r>
            <w:rPr>
              <w:sz w:val="28"/>
              <w:szCs w:val="24"/>
            </w:rPr>
            <w:instrText xml:space="preserve"> HYPERLINK \l _Toc31844 </w:instrText>
          </w:r>
          <w:r>
            <w:rPr>
              <w:sz w:val="28"/>
              <w:szCs w:val="24"/>
            </w:rPr>
            <w:fldChar w:fldCharType="separate"/>
          </w:r>
          <w:r>
            <w:rPr>
              <w:rFonts w:hint="eastAsia" w:ascii="楷体_GB2312" w:hAnsi="楷体_GB2312" w:eastAsia="楷体_GB2312" w:cs="楷体_GB2312"/>
              <w:bCs/>
              <w:kern w:val="0"/>
              <w:sz w:val="28"/>
              <w:szCs w:val="44"/>
            </w:rPr>
            <w:t>（四）效益指标</w:t>
          </w:r>
          <w:r>
            <w:rPr>
              <w:sz w:val="28"/>
              <w:szCs w:val="24"/>
            </w:rPr>
            <w:tab/>
          </w:r>
          <w:r>
            <w:rPr>
              <w:sz w:val="28"/>
              <w:szCs w:val="24"/>
            </w:rPr>
            <w:fldChar w:fldCharType="begin"/>
          </w:r>
          <w:r>
            <w:rPr>
              <w:sz w:val="28"/>
              <w:szCs w:val="24"/>
            </w:rPr>
            <w:instrText xml:space="preserve"> PAGEREF _Toc31844 \h </w:instrText>
          </w:r>
          <w:r>
            <w:rPr>
              <w:sz w:val="28"/>
              <w:szCs w:val="24"/>
            </w:rPr>
            <w:fldChar w:fldCharType="separate"/>
          </w:r>
          <w:r>
            <w:rPr>
              <w:sz w:val="28"/>
              <w:szCs w:val="24"/>
            </w:rPr>
            <w:t>17</w:t>
          </w:r>
          <w:r>
            <w:rPr>
              <w:sz w:val="28"/>
              <w:szCs w:val="24"/>
            </w:rPr>
            <w:fldChar w:fldCharType="end"/>
          </w:r>
          <w:r>
            <w:rPr>
              <w:sz w:val="28"/>
              <w:szCs w:val="24"/>
            </w:rPr>
            <w:fldChar w:fldCharType="end"/>
          </w:r>
        </w:p>
        <w:p w14:paraId="23785E94">
          <w:pPr>
            <w:pStyle w:val="9"/>
            <w:tabs>
              <w:tab w:val="right" w:leader="dot" w:pos="8250"/>
            </w:tabs>
            <w:rPr>
              <w:sz w:val="28"/>
              <w:szCs w:val="24"/>
            </w:rPr>
          </w:pPr>
          <w:r>
            <w:rPr>
              <w:sz w:val="28"/>
              <w:szCs w:val="24"/>
            </w:rPr>
            <w:fldChar w:fldCharType="begin"/>
          </w:r>
          <w:r>
            <w:rPr>
              <w:sz w:val="28"/>
              <w:szCs w:val="24"/>
            </w:rPr>
            <w:instrText xml:space="preserve"> HYPERLINK \l _Toc22603 </w:instrText>
          </w:r>
          <w:r>
            <w:rPr>
              <w:sz w:val="28"/>
              <w:szCs w:val="24"/>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_Toc22603 \h </w:instrText>
          </w:r>
          <w:r>
            <w:rPr>
              <w:sz w:val="28"/>
              <w:szCs w:val="24"/>
            </w:rPr>
            <w:fldChar w:fldCharType="separate"/>
          </w:r>
          <w:r>
            <w:rPr>
              <w:sz w:val="28"/>
              <w:szCs w:val="24"/>
            </w:rPr>
            <w:t>18</w:t>
          </w:r>
          <w:r>
            <w:rPr>
              <w:sz w:val="28"/>
              <w:szCs w:val="24"/>
            </w:rPr>
            <w:fldChar w:fldCharType="end"/>
          </w:r>
          <w:r>
            <w:rPr>
              <w:sz w:val="28"/>
              <w:szCs w:val="24"/>
            </w:rPr>
            <w:fldChar w:fldCharType="end"/>
          </w:r>
        </w:p>
        <w:p w14:paraId="48442068">
          <w:pPr>
            <w:pStyle w:val="10"/>
            <w:tabs>
              <w:tab w:val="right" w:leader="dot" w:pos="8250"/>
            </w:tabs>
            <w:rPr>
              <w:sz w:val="28"/>
              <w:szCs w:val="24"/>
            </w:rPr>
          </w:pPr>
          <w:r>
            <w:rPr>
              <w:sz w:val="28"/>
              <w:szCs w:val="24"/>
            </w:rPr>
            <w:fldChar w:fldCharType="begin"/>
          </w:r>
          <w:r>
            <w:rPr>
              <w:sz w:val="28"/>
              <w:szCs w:val="24"/>
            </w:rPr>
            <w:instrText xml:space="preserve"> HYPERLINK \l _Toc8094 </w:instrText>
          </w:r>
          <w:r>
            <w:rPr>
              <w:sz w:val="28"/>
              <w:szCs w:val="24"/>
            </w:rPr>
            <w:fldChar w:fldCharType="separate"/>
          </w:r>
          <w:r>
            <w:rPr>
              <w:rFonts w:hint="eastAsia" w:ascii="楷体_GB2312" w:hAnsi="楷体_GB2312" w:eastAsia="楷体_GB2312" w:cs="楷体_GB2312"/>
              <w:bCs/>
              <w:kern w:val="0"/>
              <w:sz w:val="28"/>
              <w:szCs w:val="44"/>
              <w:lang w:val="en-US" w:eastAsia="zh-CN"/>
            </w:rPr>
            <w:t>（一）项目初步预算的200万元与预算确定的项目投资额或资金量不匹配；效益指标不清晰、无法衡量，与任务书无法对应</w:t>
          </w:r>
          <w:r>
            <w:rPr>
              <w:sz w:val="28"/>
              <w:szCs w:val="24"/>
            </w:rPr>
            <w:tab/>
          </w:r>
          <w:r>
            <w:rPr>
              <w:sz w:val="28"/>
              <w:szCs w:val="24"/>
            </w:rPr>
            <w:fldChar w:fldCharType="begin"/>
          </w:r>
          <w:r>
            <w:rPr>
              <w:sz w:val="28"/>
              <w:szCs w:val="24"/>
            </w:rPr>
            <w:instrText xml:space="preserve"> PAGEREF _Toc8094 \h </w:instrText>
          </w:r>
          <w:r>
            <w:rPr>
              <w:sz w:val="28"/>
              <w:szCs w:val="24"/>
            </w:rPr>
            <w:fldChar w:fldCharType="separate"/>
          </w:r>
          <w:r>
            <w:rPr>
              <w:sz w:val="28"/>
              <w:szCs w:val="24"/>
            </w:rPr>
            <w:t>18</w:t>
          </w:r>
          <w:r>
            <w:rPr>
              <w:sz w:val="28"/>
              <w:szCs w:val="24"/>
            </w:rPr>
            <w:fldChar w:fldCharType="end"/>
          </w:r>
          <w:r>
            <w:rPr>
              <w:sz w:val="28"/>
              <w:szCs w:val="24"/>
            </w:rPr>
            <w:fldChar w:fldCharType="end"/>
          </w:r>
        </w:p>
        <w:p w14:paraId="09C32C73">
          <w:pPr>
            <w:pStyle w:val="10"/>
            <w:tabs>
              <w:tab w:val="right" w:leader="dot" w:pos="8250"/>
            </w:tabs>
            <w:rPr>
              <w:sz w:val="28"/>
              <w:szCs w:val="24"/>
            </w:rPr>
          </w:pPr>
          <w:r>
            <w:rPr>
              <w:sz w:val="28"/>
              <w:szCs w:val="24"/>
            </w:rPr>
            <w:fldChar w:fldCharType="begin"/>
          </w:r>
          <w:r>
            <w:rPr>
              <w:sz w:val="28"/>
              <w:szCs w:val="24"/>
            </w:rPr>
            <w:instrText xml:space="preserve"> HYPERLINK \l _Toc23356 </w:instrText>
          </w:r>
          <w:r>
            <w:rPr>
              <w:sz w:val="28"/>
              <w:szCs w:val="24"/>
            </w:rPr>
            <w:fldChar w:fldCharType="separate"/>
          </w:r>
          <w:r>
            <w:rPr>
              <w:rFonts w:hint="eastAsia" w:ascii="楷体_GB2312" w:hAnsi="楷体_GB2312" w:eastAsia="楷体_GB2312" w:cs="楷体_GB2312"/>
              <w:bCs/>
              <w:kern w:val="0"/>
              <w:sz w:val="28"/>
              <w:szCs w:val="44"/>
              <w:lang w:val="en-US" w:eastAsia="zh-CN"/>
            </w:rPr>
            <w:t>（二）</w:t>
          </w:r>
          <w:r>
            <w:rPr>
              <w:rFonts w:hint="eastAsia" w:ascii="楷体_GB2312" w:hAnsi="楷体_GB2312" w:eastAsia="楷体_GB2312" w:cs="楷体_GB2312"/>
              <w:bCs/>
              <w:kern w:val="0"/>
              <w:sz w:val="28"/>
              <w:szCs w:val="44"/>
            </w:rPr>
            <w:t>自评表指标完成情况填写不够规范</w:t>
          </w:r>
          <w:r>
            <w:rPr>
              <w:sz w:val="28"/>
              <w:szCs w:val="24"/>
            </w:rPr>
            <w:tab/>
          </w:r>
          <w:r>
            <w:rPr>
              <w:sz w:val="28"/>
              <w:szCs w:val="24"/>
            </w:rPr>
            <w:fldChar w:fldCharType="begin"/>
          </w:r>
          <w:r>
            <w:rPr>
              <w:sz w:val="28"/>
              <w:szCs w:val="24"/>
            </w:rPr>
            <w:instrText xml:space="preserve"> PAGEREF _Toc23356 \h </w:instrText>
          </w:r>
          <w:r>
            <w:rPr>
              <w:sz w:val="28"/>
              <w:szCs w:val="24"/>
            </w:rPr>
            <w:fldChar w:fldCharType="separate"/>
          </w:r>
          <w:r>
            <w:rPr>
              <w:sz w:val="28"/>
              <w:szCs w:val="24"/>
            </w:rPr>
            <w:t>18</w:t>
          </w:r>
          <w:r>
            <w:rPr>
              <w:sz w:val="28"/>
              <w:szCs w:val="24"/>
            </w:rPr>
            <w:fldChar w:fldCharType="end"/>
          </w:r>
          <w:r>
            <w:rPr>
              <w:sz w:val="28"/>
              <w:szCs w:val="24"/>
            </w:rPr>
            <w:fldChar w:fldCharType="end"/>
          </w:r>
        </w:p>
        <w:p w14:paraId="292A338E">
          <w:pPr>
            <w:pStyle w:val="10"/>
            <w:tabs>
              <w:tab w:val="right" w:leader="dot" w:pos="8250"/>
            </w:tabs>
            <w:rPr>
              <w:sz w:val="28"/>
              <w:szCs w:val="24"/>
            </w:rPr>
          </w:pPr>
          <w:r>
            <w:rPr>
              <w:sz w:val="28"/>
              <w:szCs w:val="24"/>
            </w:rPr>
            <w:fldChar w:fldCharType="begin"/>
          </w:r>
          <w:r>
            <w:rPr>
              <w:sz w:val="28"/>
              <w:szCs w:val="24"/>
            </w:rPr>
            <w:instrText xml:space="preserve"> HYPERLINK \l _Toc19347 </w:instrText>
          </w:r>
          <w:r>
            <w:rPr>
              <w:sz w:val="28"/>
              <w:szCs w:val="24"/>
            </w:rPr>
            <w:fldChar w:fldCharType="separate"/>
          </w:r>
          <w:r>
            <w:rPr>
              <w:rFonts w:hint="eastAsia" w:ascii="楷体_GB2312" w:hAnsi="楷体_GB2312" w:eastAsia="楷体_GB2312" w:cs="楷体_GB2312"/>
              <w:bCs/>
              <w:kern w:val="0"/>
              <w:sz w:val="28"/>
              <w:szCs w:val="44"/>
              <w:lang w:val="en-US" w:eastAsia="zh-CN"/>
            </w:rPr>
            <w:t>（三）项目成本超支</w:t>
          </w:r>
          <w:r>
            <w:rPr>
              <w:sz w:val="28"/>
              <w:szCs w:val="24"/>
            </w:rPr>
            <w:tab/>
          </w:r>
          <w:r>
            <w:rPr>
              <w:sz w:val="28"/>
              <w:szCs w:val="24"/>
            </w:rPr>
            <w:fldChar w:fldCharType="begin"/>
          </w:r>
          <w:r>
            <w:rPr>
              <w:sz w:val="28"/>
              <w:szCs w:val="24"/>
            </w:rPr>
            <w:instrText xml:space="preserve"> PAGEREF _Toc19347 \h </w:instrText>
          </w:r>
          <w:r>
            <w:rPr>
              <w:sz w:val="28"/>
              <w:szCs w:val="24"/>
            </w:rPr>
            <w:fldChar w:fldCharType="separate"/>
          </w:r>
          <w:r>
            <w:rPr>
              <w:sz w:val="28"/>
              <w:szCs w:val="24"/>
            </w:rPr>
            <w:t>18</w:t>
          </w:r>
          <w:r>
            <w:rPr>
              <w:sz w:val="28"/>
              <w:szCs w:val="24"/>
            </w:rPr>
            <w:fldChar w:fldCharType="end"/>
          </w:r>
          <w:r>
            <w:rPr>
              <w:sz w:val="28"/>
              <w:szCs w:val="24"/>
            </w:rPr>
            <w:fldChar w:fldCharType="end"/>
          </w:r>
        </w:p>
        <w:p w14:paraId="736A6E8E">
          <w:pPr>
            <w:pStyle w:val="9"/>
            <w:tabs>
              <w:tab w:val="right" w:leader="dot" w:pos="8250"/>
            </w:tabs>
            <w:rPr>
              <w:sz w:val="28"/>
              <w:szCs w:val="24"/>
            </w:rPr>
          </w:pPr>
          <w:r>
            <w:rPr>
              <w:sz w:val="28"/>
              <w:szCs w:val="24"/>
            </w:rPr>
            <w:fldChar w:fldCharType="begin"/>
          </w:r>
          <w:r>
            <w:rPr>
              <w:sz w:val="28"/>
              <w:szCs w:val="24"/>
            </w:rPr>
            <w:instrText xml:space="preserve"> HYPERLINK \l _Toc18732 </w:instrText>
          </w:r>
          <w:r>
            <w:rPr>
              <w:sz w:val="28"/>
              <w:szCs w:val="24"/>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_Toc18732 \h </w:instrText>
          </w:r>
          <w:r>
            <w:rPr>
              <w:sz w:val="28"/>
              <w:szCs w:val="24"/>
            </w:rPr>
            <w:fldChar w:fldCharType="separate"/>
          </w:r>
          <w:r>
            <w:rPr>
              <w:sz w:val="28"/>
              <w:szCs w:val="24"/>
            </w:rPr>
            <w:t>19</w:t>
          </w:r>
          <w:r>
            <w:rPr>
              <w:sz w:val="28"/>
              <w:szCs w:val="24"/>
            </w:rPr>
            <w:fldChar w:fldCharType="end"/>
          </w:r>
          <w:r>
            <w:rPr>
              <w:sz w:val="28"/>
              <w:szCs w:val="24"/>
            </w:rPr>
            <w:fldChar w:fldCharType="end"/>
          </w:r>
        </w:p>
        <w:p w14:paraId="29DB6231">
          <w:pPr>
            <w:pStyle w:val="10"/>
            <w:tabs>
              <w:tab w:val="right" w:leader="dot" w:pos="8250"/>
            </w:tabs>
            <w:rPr>
              <w:sz w:val="28"/>
              <w:szCs w:val="24"/>
            </w:rPr>
          </w:pPr>
          <w:r>
            <w:rPr>
              <w:sz w:val="28"/>
              <w:szCs w:val="24"/>
            </w:rPr>
            <w:fldChar w:fldCharType="begin"/>
          </w:r>
          <w:r>
            <w:rPr>
              <w:sz w:val="28"/>
              <w:szCs w:val="24"/>
            </w:rPr>
            <w:instrText xml:space="preserve"> HYPERLINK \l _Toc31733 </w:instrText>
          </w:r>
          <w:r>
            <w:rPr>
              <w:sz w:val="28"/>
              <w:szCs w:val="24"/>
            </w:rPr>
            <w:fldChar w:fldCharType="separate"/>
          </w:r>
          <w:r>
            <w:rPr>
              <w:rFonts w:hint="eastAsia" w:ascii="楷体_GB2312" w:hAnsi="楷体_GB2312" w:eastAsia="楷体_GB2312" w:cs="楷体_GB2312"/>
              <w:bCs/>
              <w:kern w:val="0"/>
              <w:sz w:val="28"/>
              <w:szCs w:val="44"/>
              <w:lang w:val="en-US" w:eastAsia="zh-CN"/>
            </w:rPr>
            <w:t>（一）项目初步预算要匹配项目的投资额或资金量；合理设置效益指标。</w:t>
          </w:r>
          <w:r>
            <w:rPr>
              <w:sz w:val="28"/>
              <w:szCs w:val="24"/>
            </w:rPr>
            <w:tab/>
          </w:r>
          <w:r>
            <w:rPr>
              <w:sz w:val="28"/>
              <w:szCs w:val="24"/>
            </w:rPr>
            <w:fldChar w:fldCharType="begin"/>
          </w:r>
          <w:r>
            <w:rPr>
              <w:sz w:val="28"/>
              <w:szCs w:val="24"/>
            </w:rPr>
            <w:instrText xml:space="preserve"> PAGEREF _Toc31733 \h </w:instrText>
          </w:r>
          <w:r>
            <w:rPr>
              <w:sz w:val="28"/>
              <w:szCs w:val="24"/>
            </w:rPr>
            <w:fldChar w:fldCharType="separate"/>
          </w:r>
          <w:r>
            <w:rPr>
              <w:sz w:val="28"/>
              <w:szCs w:val="24"/>
            </w:rPr>
            <w:t>19</w:t>
          </w:r>
          <w:r>
            <w:rPr>
              <w:sz w:val="28"/>
              <w:szCs w:val="24"/>
            </w:rPr>
            <w:fldChar w:fldCharType="end"/>
          </w:r>
          <w:r>
            <w:rPr>
              <w:sz w:val="28"/>
              <w:szCs w:val="24"/>
            </w:rPr>
            <w:fldChar w:fldCharType="end"/>
          </w:r>
        </w:p>
        <w:p w14:paraId="3ADF5745">
          <w:pPr>
            <w:pStyle w:val="10"/>
            <w:tabs>
              <w:tab w:val="right" w:leader="dot" w:pos="8250"/>
            </w:tabs>
            <w:rPr>
              <w:sz w:val="28"/>
              <w:szCs w:val="24"/>
            </w:rPr>
          </w:pPr>
          <w:r>
            <w:rPr>
              <w:sz w:val="28"/>
              <w:szCs w:val="24"/>
            </w:rPr>
            <w:fldChar w:fldCharType="begin"/>
          </w:r>
          <w:r>
            <w:rPr>
              <w:sz w:val="28"/>
              <w:szCs w:val="24"/>
            </w:rPr>
            <w:instrText xml:space="preserve"> HYPERLINK \l _Toc23186 </w:instrText>
          </w:r>
          <w:r>
            <w:rPr>
              <w:sz w:val="28"/>
              <w:szCs w:val="24"/>
            </w:rPr>
            <w:fldChar w:fldCharType="separate"/>
          </w:r>
          <w:r>
            <w:rPr>
              <w:rFonts w:hint="eastAsia" w:ascii="楷体_GB2312" w:hAnsi="楷体_GB2312" w:eastAsia="楷体_GB2312" w:cs="楷体_GB2312"/>
              <w:bCs/>
              <w:kern w:val="0"/>
              <w:sz w:val="28"/>
              <w:szCs w:val="44"/>
              <w:lang w:val="en-US" w:eastAsia="zh-CN"/>
            </w:rPr>
            <w:t>（二）规范填写指标内容</w:t>
          </w:r>
          <w:r>
            <w:rPr>
              <w:sz w:val="28"/>
              <w:szCs w:val="24"/>
            </w:rPr>
            <w:tab/>
          </w:r>
          <w:r>
            <w:rPr>
              <w:sz w:val="28"/>
              <w:szCs w:val="24"/>
            </w:rPr>
            <w:fldChar w:fldCharType="begin"/>
          </w:r>
          <w:r>
            <w:rPr>
              <w:sz w:val="28"/>
              <w:szCs w:val="24"/>
            </w:rPr>
            <w:instrText xml:space="preserve"> PAGEREF _Toc23186 \h </w:instrText>
          </w:r>
          <w:r>
            <w:rPr>
              <w:sz w:val="28"/>
              <w:szCs w:val="24"/>
            </w:rPr>
            <w:fldChar w:fldCharType="separate"/>
          </w:r>
          <w:r>
            <w:rPr>
              <w:sz w:val="28"/>
              <w:szCs w:val="24"/>
            </w:rPr>
            <w:t>19</w:t>
          </w:r>
          <w:r>
            <w:rPr>
              <w:sz w:val="28"/>
              <w:szCs w:val="24"/>
            </w:rPr>
            <w:fldChar w:fldCharType="end"/>
          </w:r>
          <w:r>
            <w:rPr>
              <w:sz w:val="28"/>
              <w:szCs w:val="24"/>
            </w:rPr>
            <w:fldChar w:fldCharType="end"/>
          </w:r>
        </w:p>
        <w:p w14:paraId="4C8B64D3">
          <w:pPr>
            <w:pStyle w:val="10"/>
            <w:tabs>
              <w:tab w:val="right" w:leader="dot" w:pos="8250"/>
            </w:tabs>
            <w:rPr>
              <w:sz w:val="28"/>
              <w:szCs w:val="24"/>
            </w:rPr>
          </w:pPr>
          <w:r>
            <w:rPr>
              <w:sz w:val="28"/>
              <w:szCs w:val="24"/>
            </w:rPr>
            <w:fldChar w:fldCharType="begin"/>
          </w:r>
          <w:r>
            <w:rPr>
              <w:sz w:val="28"/>
              <w:szCs w:val="24"/>
            </w:rPr>
            <w:instrText xml:space="preserve"> HYPERLINK \l _Toc11459 </w:instrText>
          </w:r>
          <w:r>
            <w:rPr>
              <w:sz w:val="28"/>
              <w:szCs w:val="24"/>
            </w:rPr>
            <w:fldChar w:fldCharType="separate"/>
          </w:r>
          <w:r>
            <w:rPr>
              <w:rFonts w:hint="eastAsia" w:ascii="楷体_GB2312" w:hAnsi="楷体_GB2312" w:eastAsia="楷体_GB2312" w:cs="楷体_GB2312"/>
              <w:bCs/>
              <w:kern w:val="0"/>
              <w:sz w:val="28"/>
              <w:szCs w:val="44"/>
              <w:lang w:val="en-US" w:eastAsia="zh-CN"/>
            </w:rPr>
            <w:t>（三）合理规划工作任务，努力控制项目成本</w:t>
          </w:r>
          <w:r>
            <w:rPr>
              <w:sz w:val="28"/>
              <w:szCs w:val="24"/>
            </w:rPr>
            <w:tab/>
          </w:r>
          <w:r>
            <w:rPr>
              <w:sz w:val="28"/>
              <w:szCs w:val="24"/>
            </w:rPr>
            <w:fldChar w:fldCharType="begin"/>
          </w:r>
          <w:r>
            <w:rPr>
              <w:sz w:val="28"/>
              <w:szCs w:val="24"/>
            </w:rPr>
            <w:instrText xml:space="preserve"> PAGEREF _Toc11459 \h </w:instrText>
          </w:r>
          <w:r>
            <w:rPr>
              <w:sz w:val="28"/>
              <w:szCs w:val="24"/>
            </w:rPr>
            <w:fldChar w:fldCharType="separate"/>
          </w:r>
          <w:r>
            <w:rPr>
              <w:sz w:val="28"/>
              <w:szCs w:val="24"/>
            </w:rPr>
            <w:t>19</w:t>
          </w:r>
          <w:r>
            <w:rPr>
              <w:sz w:val="28"/>
              <w:szCs w:val="24"/>
            </w:rPr>
            <w:fldChar w:fldCharType="end"/>
          </w:r>
          <w:r>
            <w:rPr>
              <w:sz w:val="28"/>
              <w:szCs w:val="24"/>
            </w:rPr>
            <w:fldChar w:fldCharType="end"/>
          </w:r>
        </w:p>
        <w:p w14:paraId="244D8571">
          <w:pPr>
            <w:pStyle w:val="9"/>
            <w:tabs>
              <w:tab w:val="right" w:leader="dot" w:pos="8250"/>
            </w:tabs>
            <w:rPr>
              <w:sz w:val="28"/>
              <w:szCs w:val="24"/>
            </w:rPr>
          </w:pPr>
          <w:r>
            <w:rPr>
              <w:sz w:val="28"/>
              <w:szCs w:val="24"/>
            </w:rPr>
            <w:fldChar w:fldCharType="begin"/>
          </w:r>
          <w:r>
            <w:rPr>
              <w:sz w:val="28"/>
              <w:szCs w:val="24"/>
            </w:rPr>
            <w:instrText xml:space="preserve"> HYPERLINK \l _Toc13127 </w:instrText>
          </w:r>
          <w:r>
            <w:rPr>
              <w:sz w:val="28"/>
              <w:szCs w:val="24"/>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w:t>
          </w:r>
          <w:r>
            <w:rPr>
              <w:rFonts w:hint="eastAsia" w:ascii="仿宋" w:hAnsi="仿宋" w:eastAsia="仿宋" w:cs="仿宋"/>
              <w:kern w:val="0"/>
              <w:sz w:val="28"/>
              <w:szCs w:val="44"/>
              <w:lang w:eastAsia="zh-CN"/>
            </w:rPr>
            <w:t>：</w:t>
          </w:r>
          <w:r>
            <w:rPr>
              <w:rFonts w:hint="eastAsia" w:ascii="仿宋" w:hAnsi="仿宋" w:eastAsia="仿宋" w:cs="仿宋"/>
              <w:kern w:val="0"/>
              <w:sz w:val="28"/>
              <w:szCs w:val="44"/>
            </w:rPr>
            <w:t>项目绩效评价指标体系打分表</w:t>
          </w:r>
          <w:r>
            <w:rPr>
              <w:sz w:val="28"/>
              <w:szCs w:val="24"/>
            </w:rPr>
            <w:tab/>
          </w:r>
          <w:r>
            <w:rPr>
              <w:sz w:val="28"/>
              <w:szCs w:val="24"/>
            </w:rPr>
            <w:fldChar w:fldCharType="begin"/>
          </w:r>
          <w:r>
            <w:rPr>
              <w:sz w:val="28"/>
              <w:szCs w:val="24"/>
            </w:rPr>
            <w:instrText xml:space="preserve"> PAGEREF _Toc13127 \h </w:instrText>
          </w:r>
          <w:r>
            <w:rPr>
              <w:sz w:val="28"/>
              <w:szCs w:val="24"/>
            </w:rPr>
            <w:fldChar w:fldCharType="separate"/>
          </w:r>
          <w:r>
            <w:rPr>
              <w:sz w:val="28"/>
              <w:szCs w:val="24"/>
            </w:rPr>
            <w:t>19</w:t>
          </w:r>
          <w:r>
            <w:rPr>
              <w:sz w:val="28"/>
              <w:szCs w:val="24"/>
            </w:rPr>
            <w:fldChar w:fldCharType="end"/>
          </w:r>
          <w:r>
            <w:rPr>
              <w:sz w:val="28"/>
              <w:szCs w:val="24"/>
            </w:rPr>
            <w:fldChar w:fldCharType="end"/>
          </w:r>
        </w:p>
        <w:p w14:paraId="30836BD8">
          <w:pPr>
            <w:jc w:val="center"/>
          </w:pPr>
          <w:r>
            <w:rPr>
              <w:b/>
            </w:rPr>
            <w:fldChar w:fldCharType="end"/>
          </w:r>
          <w:bookmarkStart w:id="3" w:name="_Toc7428"/>
        </w:p>
      </w:sdtContent>
    </w:sdt>
    <w:p w14:paraId="1B5489DE">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2668722B">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17506"/>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751C6652">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为了执行《扶风县农村人居环境整治长效管护机制实施方案(暂行)》明确的目标任务，全面核实农村生活污水处理设施运行情况，多举措、多维度推进农村生活污水处理设施标准化运维，保障污水处理设施正常运行，切实提升农村生活污水治理能力和水平，扶风县住房和城乡建设局编列2023年度污水处理运行项目计划，经财政局审核，列入部门预算。项目主管部门为扶风县住房和城乡建设局，由扶风县住房和城乡建设局实施。项目预算资金235万元，项目到位资金235万元，项目资金支付235万元，项目结余资金0万元。</w:t>
      </w:r>
    </w:p>
    <w:p w14:paraId="27B880A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按照确定的评分细则，对各项指标逐一评价打分，2023年度污水处理运行补助绩效评价得分为</w:t>
      </w:r>
      <w:r>
        <w:rPr>
          <w:rFonts w:hint="eastAsia" w:ascii="仿宋" w:hAnsi="仿宋" w:eastAsia="仿宋" w:cs="仿宋"/>
          <w:kern w:val="0"/>
          <w:sz w:val="32"/>
          <w:szCs w:val="32"/>
          <w:highlight w:val="none"/>
          <w:lang w:val="en-US" w:eastAsia="zh-CN"/>
        </w:rPr>
        <w:t>87</w:t>
      </w:r>
      <w:r>
        <w:rPr>
          <w:rFonts w:hint="eastAsia" w:ascii="仿宋" w:hAnsi="仿宋" w:eastAsia="仿宋" w:cs="仿宋"/>
          <w:kern w:val="0"/>
          <w:sz w:val="32"/>
          <w:szCs w:val="32"/>
          <w:highlight w:val="none"/>
        </w:rPr>
        <w:t>.0</w:t>
      </w:r>
      <w:r>
        <w:rPr>
          <w:rFonts w:hint="eastAsia" w:ascii="仿宋" w:hAnsi="仿宋" w:eastAsia="仿宋" w:cs="仿宋"/>
          <w:kern w:val="0"/>
          <w:sz w:val="32"/>
          <w:szCs w:val="32"/>
        </w:rPr>
        <w:t>分，评价结果等级为“</w:t>
      </w:r>
      <w:r>
        <w:rPr>
          <w:rFonts w:hint="eastAsia" w:ascii="仿宋" w:hAnsi="仿宋" w:eastAsia="仿宋" w:cs="仿宋"/>
          <w:kern w:val="0"/>
          <w:sz w:val="32"/>
          <w:szCs w:val="32"/>
          <w:lang w:val="en-US" w:eastAsia="zh-CN"/>
        </w:rPr>
        <w:t>良</w:t>
      </w:r>
      <w:r>
        <w:rPr>
          <w:rFonts w:hint="eastAsia" w:ascii="仿宋" w:hAnsi="仿宋" w:eastAsia="仿宋" w:cs="仿宋"/>
          <w:kern w:val="0"/>
          <w:sz w:val="32"/>
          <w:szCs w:val="32"/>
        </w:rPr>
        <w:t>”。</w:t>
      </w:r>
    </w:p>
    <w:p w14:paraId="018C63DA">
      <w:pPr>
        <w:numPr>
          <w:ilvl w:val="0"/>
          <w:numId w:val="0"/>
        </w:numPr>
        <w:adjustRightInd w:val="0"/>
        <w:snapToGrid w:val="0"/>
        <w:spacing w:line="600" w:lineRule="exact"/>
        <w:ind w:firstLine="640" w:firstLineChars="200"/>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rPr>
        <w:t>存在的问题：</w:t>
      </w:r>
      <w:r>
        <w:rPr>
          <w:rFonts w:hint="eastAsia" w:ascii="仿宋" w:hAnsi="仿宋" w:eastAsia="仿宋" w:cs="仿宋"/>
          <w:kern w:val="0"/>
          <w:sz w:val="32"/>
          <w:szCs w:val="32"/>
          <w:lang w:val="en-US" w:eastAsia="zh-CN"/>
        </w:rPr>
        <w:t>①项目初步预算的200万元与预算确定的项目投资额或资金量不匹配；效益指标不清晰、无法衡量，与任务书无法对应。②</w:t>
      </w:r>
      <w:r>
        <w:rPr>
          <w:rFonts w:hint="eastAsia" w:ascii="仿宋" w:hAnsi="仿宋" w:eastAsia="仿宋" w:cs="仿宋"/>
          <w:kern w:val="0"/>
          <w:sz w:val="32"/>
          <w:szCs w:val="32"/>
        </w:rPr>
        <w:t>自评表指标完成情况填写不够规范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bidi="ar-SA"/>
        </w:rPr>
        <w:t>③项目成本超支。</w:t>
      </w:r>
    </w:p>
    <w:p w14:paraId="77C0732E">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20A47DBA">
      <w:pPr>
        <w:spacing w:line="600" w:lineRule="exact"/>
        <w:jc w:val="center"/>
        <w:outlineLvl w:val="9"/>
        <w:rPr>
          <w:b/>
          <w:bCs/>
        </w:rPr>
      </w:pPr>
      <w:r>
        <w:rPr>
          <w:rFonts w:hint="eastAsia" w:ascii="方正小标宋_GBK" w:hAnsi="方正小标宋_GBK" w:eastAsia="方正小标宋_GBK" w:cs="方正小标宋_GBK"/>
          <w:b/>
          <w:bCs/>
          <w:kern w:val="2"/>
          <w:sz w:val="36"/>
          <w:szCs w:val="36"/>
        </w:rPr>
        <w:t>2023年度污水处理运行补助</w:t>
      </w:r>
      <w:bookmarkStart w:id="5" w:name="_Toc3207"/>
      <w:bookmarkStart w:id="6" w:name="_Toc3198"/>
      <w:r>
        <w:rPr>
          <w:rFonts w:hint="eastAsia" w:ascii="方正小标宋_GBK" w:hAnsi="方正小标宋_GBK" w:eastAsia="方正小标宋_GBK" w:cs="方正小标宋_GBK"/>
          <w:b/>
          <w:bCs/>
          <w:kern w:val="2"/>
          <w:sz w:val="36"/>
          <w:szCs w:val="36"/>
        </w:rPr>
        <w:t>绩效评价报告</w:t>
      </w:r>
      <w:bookmarkEnd w:id="5"/>
      <w:bookmarkEnd w:id="6"/>
    </w:p>
    <w:p w14:paraId="4E384FED">
      <w:pPr>
        <w:spacing w:line="600" w:lineRule="exact"/>
        <w:ind w:firstLine="640" w:firstLineChars="200"/>
        <w:rPr>
          <w:rFonts w:ascii="仿宋" w:hAnsi="仿宋" w:eastAsia="仿宋" w:cs="仿宋"/>
          <w:kern w:val="0"/>
          <w:sz w:val="32"/>
          <w:szCs w:val="32"/>
        </w:rPr>
      </w:pPr>
      <w:bookmarkStart w:id="7" w:name="_Toc12937"/>
      <w:bookmarkStart w:id="8" w:name="_Toc23524"/>
      <w:bookmarkStart w:id="9" w:name="_Toc9863"/>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13</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年6月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，对2023年度污水处理运行补助进行绩效评价。现将评价情况报告如下：</w:t>
      </w:r>
    </w:p>
    <w:p w14:paraId="6017D042">
      <w:pPr>
        <w:spacing w:before="104" w:line="600" w:lineRule="exact"/>
        <w:ind w:firstLine="672"/>
        <w:outlineLvl w:val="0"/>
        <w:rPr>
          <w:rFonts w:ascii="黑体" w:hAnsi="黑体" w:eastAsia="黑体" w:cs="黑体"/>
          <w:spacing w:val="-2"/>
          <w:sz w:val="32"/>
          <w:szCs w:val="32"/>
        </w:rPr>
      </w:pPr>
      <w:bookmarkStart w:id="10" w:name="_Toc27074"/>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014499AD">
      <w:pPr>
        <w:spacing w:line="600" w:lineRule="exact"/>
        <w:ind w:firstLine="643" w:firstLineChars="200"/>
        <w:outlineLvl w:val="1"/>
        <w:rPr>
          <w:rFonts w:ascii="楷体" w:hAnsi="楷体" w:eastAsia="楷体" w:cs="楷体"/>
          <w:b/>
          <w:bCs/>
          <w:kern w:val="0"/>
          <w:sz w:val="32"/>
          <w:szCs w:val="32"/>
        </w:rPr>
      </w:pPr>
      <w:bookmarkStart w:id="11" w:name="_Toc3001"/>
      <w:bookmarkStart w:id="12" w:name="_Toc24850"/>
      <w:bookmarkStart w:id="13" w:name="_Toc23734"/>
      <w:bookmarkStart w:id="14" w:name="_Toc22255"/>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3B75026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1.项目背景</w:t>
      </w:r>
    </w:p>
    <w:p w14:paraId="0CAA36FC">
      <w:pPr>
        <w:spacing w:line="600" w:lineRule="exact"/>
        <w:ind w:firstLine="640" w:firstLineChars="200"/>
      </w:pPr>
      <w:r>
        <w:rPr>
          <w:rFonts w:ascii="仿宋" w:hAnsi="仿宋" w:eastAsia="仿宋" w:cs="仿宋"/>
          <w:kern w:val="0"/>
          <w:sz w:val="32"/>
          <w:szCs w:val="32"/>
        </w:rPr>
        <w:t>为了执行《扶风县农村人居环境整治长效管护机制实施方案(暂行)》明确的目标任务，全面核实农村生活污水处理设施运行情况，多举措、多维度推进农村生活污水处理设施标准化运维，保障污水处理设施正常运行，切实提升农村生活污水治理能力和水平，扶风县住房和城乡建设局编列2023年度污水处理运行项目计划，经财政局审核，列入部门预算。</w:t>
      </w:r>
    </w:p>
    <w:p w14:paraId="654A3C49">
      <w:pPr>
        <w:spacing w:line="600" w:lineRule="exact"/>
        <w:ind w:firstLine="643"/>
        <w:outlineLvl w:val="9"/>
        <w:rPr>
          <w:rFonts w:hint="eastAsia" w:ascii="仿宋" w:hAnsi="仿宋" w:cs="仿宋"/>
          <w:b/>
          <w:bCs/>
          <w:sz w:val="32"/>
          <w:szCs w:val="32"/>
        </w:rPr>
      </w:pPr>
      <w:bookmarkStart w:id="15" w:name="_Toc2902"/>
      <w:bookmarkStart w:id="16" w:name="_Toc19838"/>
      <w:bookmarkStart w:id="17" w:name="_Toc30940"/>
      <w:bookmarkStart w:id="18" w:name="_Toc5307_WPSOffice_Level2"/>
      <w:bookmarkStart w:id="19" w:name="_Toc6691"/>
      <w:bookmarkStart w:id="20" w:name="_Toc24420"/>
      <w:r>
        <w:rPr>
          <w:rFonts w:hint="eastAsia" w:ascii="仿宋" w:hAnsi="仿宋" w:cs="仿宋"/>
          <w:b/>
          <w:bCs/>
          <w:sz w:val="32"/>
          <w:szCs w:val="32"/>
        </w:rPr>
        <w:t>2.项目主要内容</w:t>
      </w:r>
    </w:p>
    <w:p w14:paraId="314D776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对绛帐镇工业园区、绛帐老街道及附近工厂村庄生活污水及工业废水的污水处理。</w:t>
      </w:r>
    </w:p>
    <w:p w14:paraId="18FB0544">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2B6BEDC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一般固体废物委托处置由陕西天雨生态科技有限公司实施，扶风县绛帐污水处理有限责任公司于2023年2月1日与陕西天雨生态科技有限公司签订《一般固体废物委托处置合同书》，一般固体废物处置工作已经完成；污染源在线监测设备托管运营委托陕西盛源润泰环保科技有限公司，扶风县绛帐污水处理有限责任公司于2023年4月30日与陕西盛源润泰环保科技有限公司签订《污染源在线监测设备托管运营合同》，污染源在线监测设备托管运营已经完成；危险废物委托处置委托冀东海德堡(扶风)水泥有限公司实施，扶风县绛帐污水处理有限责任公司于2023年6月3日与冀东海德堡(扶风)水泥有限公司签订了《危险废物委托处置合同》，危险废物委托处置工作已经完成；技术服务委托陕西秦景蓝环境检测有限公司提供，扶风县绛帐污水处理有限责任公司于2023年6月21日与陕西秦景蓝环境检测有限公司签订了《技术服务合同书》，技术服务已经提供。</w:t>
      </w:r>
    </w:p>
    <w:p w14:paraId="2A71E35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73182DDE">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扶风县财政局于2023年1月27日以《关于批复2023年度部门综合预算的通知》（扶财办预〔2023〕1号）</w:t>
      </w:r>
      <w:r>
        <w:rPr>
          <w:rFonts w:hint="eastAsia" w:ascii="仿宋" w:hAnsi="仿宋" w:eastAsia="仿宋" w:cs="仿宋"/>
          <w:kern w:val="0"/>
          <w:sz w:val="32"/>
          <w:szCs w:val="32"/>
          <w:lang w:val="en-US" w:eastAsia="zh-CN"/>
        </w:rPr>
        <w:t>等四个批次文件</w:t>
      </w:r>
      <w:r>
        <w:rPr>
          <w:rFonts w:hint="eastAsia" w:ascii="仿宋" w:hAnsi="仿宋" w:eastAsia="仿宋" w:cs="仿宋"/>
          <w:kern w:val="0"/>
          <w:sz w:val="32"/>
          <w:szCs w:val="32"/>
        </w:rPr>
        <w:t>向扶风县住房和城乡建设局下达2023年污水处理运行补助资金共计235万元。</w:t>
      </w:r>
    </w:p>
    <w:p w14:paraId="4CBC179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16D530A8">
      <w:pPr>
        <w:spacing w:line="600" w:lineRule="exact"/>
        <w:ind w:firstLine="640" w:firstLineChars="200"/>
      </w:pPr>
      <w:r>
        <w:rPr>
          <w:rFonts w:hint="eastAsia" w:ascii="仿宋" w:hAnsi="仿宋" w:eastAsia="仿宋" w:cs="仿宋"/>
          <w:kern w:val="0"/>
          <w:sz w:val="32"/>
          <w:szCs w:val="32"/>
        </w:rPr>
        <w:t>财政预算资金下达235万元，已到位235万元，截至2023年12月</w:t>
      </w:r>
      <w:r>
        <w:rPr>
          <w:rFonts w:hint="eastAsia" w:ascii="仿宋" w:hAnsi="仿宋" w:eastAsia="仿宋" w:cs="仿宋"/>
          <w:kern w:val="0"/>
          <w:sz w:val="32"/>
          <w:szCs w:val="32"/>
          <w:lang w:val="en-US" w:eastAsia="zh-CN"/>
        </w:rPr>
        <w:t>31</w:t>
      </w:r>
      <w:r>
        <w:rPr>
          <w:rFonts w:hint="eastAsia" w:ascii="仿宋" w:hAnsi="仿宋" w:eastAsia="仿宋" w:cs="仿宋"/>
          <w:kern w:val="0"/>
          <w:sz w:val="32"/>
          <w:szCs w:val="32"/>
        </w:rPr>
        <w:t>日已支付235万元。</w:t>
      </w:r>
    </w:p>
    <w:p w14:paraId="037953A9">
      <w:pPr>
        <w:spacing w:line="600" w:lineRule="exact"/>
        <w:ind w:firstLine="643" w:firstLineChars="200"/>
        <w:outlineLvl w:val="1"/>
        <w:rPr>
          <w:rFonts w:ascii="楷体" w:hAnsi="楷体" w:eastAsia="楷体" w:cs="楷体"/>
          <w:b/>
          <w:bCs/>
          <w:kern w:val="0"/>
          <w:sz w:val="32"/>
          <w:szCs w:val="32"/>
        </w:rPr>
      </w:pPr>
      <w:bookmarkStart w:id="21" w:name="_Toc1550"/>
      <w:r>
        <w:rPr>
          <w:rFonts w:hint="eastAsia" w:ascii="楷体" w:hAnsi="楷体" w:eastAsia="楷体" w:cs="楷体"/>
          <w:b/>
          <w:bCs/>
          <w:kern w:val="0"/>
          <w:sz w:val="32"/>
          <w:szCs w:val="32"/>
        </w:rPr>
        <w:t>（二）项目绩效目标</w:t>
      </w:r>
      <w:bookmarkEnd w:id="15"/>
      <w:bookmarkEnd w:id="16"/>
      <w:bookmarkEnd w:id="17"/>
      <w:bookmarkEnd w:id="21"/>
    </w:p>
    <w:bookmarkEnd w:id="18"/>
    <w:bookmarkEnd w:id="19"/>
    <w:bookmarkEnd w:id="20"/>
    <w:p w14:paraId="79177B65">
      <w:pPr>
        <w:spacing w:line="600" w:lineRule="exact"/>
        <w:ind w:firstLine="640" w:firstLineChars="200"/>
        <w:rPr>
          <w:rFonts w:hint="eastAsia" w:ascii="仿宋" w:hAnsi="仿宋" w:eastAsia="仿宋" w:cs="仿宋"/>
          <w:kern w:val="0"/>
          <w:sz w:val="32"/>
          <w:szCs w:val="32"/>
        </w:rPr>
      </w:pPr>
      <w:bookmarkStart w:id="22" w:name="_Toc25596"/>
      <w:bookmarkStart w:id="23" w:name="_Toc22895"/>
      <w:bookmarkStart w:id="24" w:name="_Toc8245_WPSOffice_Level1"/>
      <w:bookmarkStart w:id="25" w:name="_Toc29155_WPSOffice_Level1"/>
      <w:bookmarkStart w:id="26" w:name="_Toc29537"/>
      <w:bookmarkStart w:id="27" w:name="_Hlk2370114"/>
      <w:bookmarkStart w:id="28" w:name="_Toc16072"/>
      <w:bookmarkStart w:id="29" w:name="_Toc28175_WPSOffice_Level1"/>
      <w:bookmarkStart w:id="30" w:name="_Toc21915"/>
      <w:bookmarkStart w:id="31" w:name="_Toc3241_WPSOffice_Level1"/>
      <w:bookmarkStart w:id="32" w:name="_Toc18785"/>
      <w:bookmarkStart w:id="33" w:name="_Toc28206"/>
      <w:bookmarkStart w:id="34" w:name="_Toc6828_WPSOffice_Level1"/>
      <w:bookmarkStart w:id="35" w:name="_Toc11420_WPSOffice_Level1"/>
      <w:bookmarkStart w:id="36" w:name="_Toc6281_WPSOffice_Level1"/>
      <w:bookmarkStart w:id="37" w:name="_Toc29074"/>
      <w:bookmarkStart w:id="38" w:name="_Toc751_WPSOffice_Level1"/>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项目总体目标</w:t>
      </w:r>
    </w:p>
    <w:p w14:paraId="65CCAAFA">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（1）按照相关部门有关规定，处理绛帐镇工业园区、绛帐老街道及附近工厂村庄生活污水及工业废水的污水处理工作，出水水质执行《城镇污水处理厂污染物排放标准》(DB61/224-2018，/)的一级A类标准。</w:t>
      </w:r>
    </w:p>
    <w:p w14:paraId="4F87BB55">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（2）完善污泥处理处置方面的设施及环境，以及规范化储存、合理化处理危固废液。</w:t>
      </w:r>
    </w:p>
    <w:p w14:paraId="568EB83A">
      <w:pPr>
        <w:spacing w:line="60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项目绩效指标</w:t>
      </w:r>
    </w:p>
    <w:p w14:paraId="3DB98B54">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（1）产出指标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①数量指标。日处理污水规模5000吨、年处理污泥规模700吨。②质量指标。污水处理达标率100%、污泥达标率100%。③时效指标。污水处理治理完成时间2023年12月31日，污泥理治理完成时间2023年12月31日。④成本指标。污水处理成本1.3元/吨、污泥处理成本200元/吨。</w:t>
      </w:r>
    </w:p>
    <w:p w14:paraId="52C555E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（2）效益指标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①社会效益。提升人居环境质量。②</w:t>
      </w:r>
      <w:r>
        <w:rPr>
          <w:rFonts w:hint="eastAsia" w:ascii="仿宋" w:hAnsi="仿宋" w:eastAsia="仿宋" w:cs="仿宋"/>
          <w:kern w:val="0"/>
          <w:sz w:val="32"/>
          <w:szCs w:val="32"/>
          <w:lang w:val="en-US" w:eastAsia="zh-CN"/>
        </w:rPr>
        <w:t>生态</w:t>
      </w:r>
      <w:r>
        <w:rPr>
          <w:rFonts w:hint="eastAsia" w:ascii="仿宋" w:hAnsi="仿宋" w:eastAsia="仿宋" w:cs="仿宋"/>
          <w:kern w:val="0"/>
          <w:sz w:val="32"/>
          <w:szCs w:val="32"/>
        </w:rPr>
        <w:t>效益。减少环境污染，保护生态环境。③可持续影响。提升城市形象和吸引力。④满意度。社会公众满意度。</w:t>
      </w:r>
    </w:p>
    <w:p w14:paraId="6B682383">
      <w:pPr>
        <w:spacing w:before="104" w:line="600" w:lineRule="exact"/>
        <w:ind w:firstLine="672"/>
        <w:outlineLvl w:val="0"/>
        <w:rPr>
          <w:rFonts w:ascii="黑体" w:hAnsi="黑体" w:eastAsia="黑体" w:cs="黑体"/>
          <w:spacing w:val="-2"/>
          <w:sz w:val="32"/>
          <w:szCs w:val="32"/>
        </w:rPr>
      </w:pPr>
      <w:bookmarkStart w:id="39" w:name="_Toc16666"/>
      <w:r>
        <w:rPr>
          <w:rFonts w:hint="eastAsia" w:ascii="黑体" w:hAnsi="黑体" w:eastAsia="黑体" w:cs="黑体"/>
          <w:spacing w:val="-2"/>
          <w:sz w:val="32"/>
          <w:szCs w:val="32"/>
        </w:rPr>
        <w:t>二、绩效评价工作开展情况</w:t>
      </w:r>
      <w:bookmarkEnd w:id="22"/>
      <w:bookmarkEnd w:id="23"/>
      <w:bookmarkEnd w:id="39"/>
      <w:bookmarkStart w:id="40" w:name="_Toc30013"/>
      <w:bookmarkStart w:id="41" w:name="_Toc4270"/>
      <w:bookmarkStart w:id="42" w:name="_Toc1319"/>
      <w:bookmarkStart w:id="43" w:name="_Toc1360"/>
    </w:p>
    <w:p w14:paraId="20092DC5">
      <w:pPr>
        <w:spacing w:before="104" w:line="600" w:lineRule="exact"/>
        <w:ind w:firstLine="672"/>
        <w:outlineLvl w:val="1"/>
      </w:pPr>
      <w:bookmarkStart w:id="44" w:name="_Toc29096"/>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39BA05F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2023年度污水处理运行补助。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4838A0D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75CBB7EF">
      <w:pPr>
        <w:spacing w:line="600" w:lineRule="exact"/>
        <w:ind w:firstLine="643" w:firstLineChars="200"/>
        <w:outlineLvl w:val="1"/>
        <w:rPr>
          <w:rFonts w:ascii="楷体" w:hAnsi="楷体" w:eastAsia="楷体" w:cs="楷体"/>
          <w:b/>
          <w:bCs/>
          <w:kern w:val="0"/>
          <w:sz w:val="32"/>
          <w:szCs w:val="32"/>
        </w:rPr>
      </w:pPr>
      <w:bookmarkStart w:id="45" w:name="_Toc17204"/>
      <w:bookmarkStart w:id="46" w:name="_Toc14910"/>
      <w:bookmarkStart w:id="47" w:name="_Toc18097"/>
      <w:bookmarkStart w:id="48" w:name="_Toc26139"/>
      <w:bookmarkStart w:id="49" w:name="_Toc2196"/>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72583870">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1.绩效评价原则</w:t>
      </w:r>
    </w:p>
    <w:p w14:paraId="37B536B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09AA200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77B133C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252391C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43FD26E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0FB7F6C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（6）独立评价原则。评价活动不受任何机构和个人的干预和影响，独立做出评价结论。 </w:t>
      </w:r>
    </w:p>
    <w:p w14:paraId="6535579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67D76C9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（8）反馈原则。将评价的结果反馈给委托部门，作为有关部门以后年度安排项目预算、加强项目管理等工作的重要依据。 </w:t>
      </w:r>
    </w:p>
    <w:p w14:paraId="510E686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0ADCD313">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0EAB7D6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等有关规定，结合项目实际情况，本次评价共设置决策指标、过程指标、产出指标、效益指标4个一级指标，对一级指标细分为13个二级指标，对二级指标细分为20个三级指标。</w:t>
      </w:r>
    </w:p>
    <w:p w14:paraId="39AB180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241B373E">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02038EFB">
      <w:pPr>
        <w:spacing w:line="600" w:lineRule="exact"/>
        <w:ind w:firstLine="640" w:firstLineChars="200"/>
        <w:rPr>
          <w:rFonts w:ascii="仿宋" w:hAnsi="仿宋" w:eastAsia="仿宋" w:cs="仿宋"/>
          <w:kern w:val="0"/>
          <w:sz w:val="32"/>
          <w:szCs w:val="32"/>
        </w:rPr>
      </w:pPr>
      <w:bookmarkStart w:id="50" w:name="_Toc1910"/>
      <w:bookmarkStart w:id="51" w:name="_Toc29066"/>
      <w:bookmarkStart w:id="52" w:name="_Toc19283"/>
      <w:r>
        <w:rPr>
          <w:rFonts w:ascii="仿宋" w:hAnsi="仿宋" w:eastAsia="仿宋" w:cs="仿宋"/>
          <w:kern w:val="0"/>
          <w:sz w:val="32"/>
          <w:szCs w:val="32"/>
        </w:rPr>
        <w:t>本次评价由扶风县财政局组织实施</w:t>
      </w:r>
      <w:r>
        <w:rPr>
          <w:rFonts w:hint="eastAsia" w:ascii="仿宋" w:hAnsi="仿宋" w:eastAsia="仿宋" w:cs="仿宋"/>
          <w:kern w:val="0"/>
          <w:sz w:val="32"/>
          <w:szCs w:val="32"/>
          <w:lang w:eastAsia="zh-CN"/>
        </w:rPr>
        <w:t>，</w:t>
      </w:r>
      <w:r>
        <w:rPr>
          <w:rFonts w:ascii="仿宋" w:hAnsi="仿宋" w:eastAsia="仿宋" w:cs="仿宋"/>
          <w:kern w:val="0"/>
          <w:sz w:val="32"/>
          <w:szCs w:val="32"/>
        </w:rPr>
        <w:t>评价以访谈、材料核查、座谈、问卷调查、选点抽查为基础，坚持定量优先、简便有效的原则，综合运用比较法、因素分析法等方法，对2023年度污水处理运行补助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25469323">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495E3619">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696028F4">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7675105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36AB99DC">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14D32AFD">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1CAFB6C3">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61ED8D47">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2FD9029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749275A2">
      <w:pPr>
        <w:spacing w:line="600" w:lineRule="exact"/>
        <w:ind w:firstLine="643" w:firstLineChars="200"/>
        <w:outlineLvl w:val="1"/>
        <w:rPr>
          <w:rFonts w:ascii="楷体" w:hAnsi="楷体" w:eastAsia="楷体" w:cs="楷体"/>
          <w:b/>
          <w:bCs/>
          <w:kern w:val="0"/>
          <w:sz w:val="32"/>
          <w:szCs w:val="32"/>
        </w:rPr>
      </w:pPr>
      <w:bookmarkStart w:id="53" w:name="_Toc17254"/>
      <w:bookmarkStart w:id="54" w:name="_Toc13530"/>
      <w:bookmarkStart w:id="55" w:name="_Toc23298"/>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5386FCB8">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039201C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w:t>
      </w:r>
      <w:r>
        <w:rPr>
          <w:rFonts w:hint="eastAsia" w:ascii="仿宋" w:hAnsi="仿宋" w:eastAsia="仿宋" w:cs="仿宋"/>
          <w:kern w:val="0"/>
          <w:sz w:val="32"/>
          <w:szCs w:val="32"/>
          <w:highlight w:val="none"/>
        </w:rPr>
        <w:t>扶风县财政局相关业务股室</w:t>
      </w:r>
      <w:r>
        <w:rPr>
          <w:rFonts w:hint="eastAsia" w:ascii="仿宋" w:hAnsi="仿宋" w:eastAsia="仿宋" w:cs="仿宋"/>
          <w:kern w:val="0"/>
          <w:sz w:val="32"/>
          <w:szCs w:val="32"/>
        </w:rPr>
        <w:t>成</w:t>
      </w:r>
      <w:r>
        <w:rPr>
          <w:rFonts w:hint="eastAsia" w:ascii="仿宋" w:hAnsi="仿宋" w:eastAsia="仿宋" w:cs="仿宋"/>
          <w:kern w:val="0"/>
          <w:sz w:val="32"/>
          <w:szCs w:val="32"/>
          <w:lang w:val="en-US" w:eastAsia="zh-CN"/>
        </w:rPr>
        <w:t>立</w:t>
      </w:r>
      <w:r>
        <w:rPr>
          <w:rFonts w:hint="eastAsia" w:ascii="仿宋" w:hAnsi="仿宋" w:eastAsia="仿宋" w:cs="仿宋"/>
          <w:kern w:val="0"/>
          <w:sz w:val="32"/>
          <w:szCs w:val="32"/>
        </w:rPr>
        <w:t>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0D355DF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6735079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1BC3EFEC">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736306D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15E9B3D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0CC1D858">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256E6B5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0E477F03">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2D2E28A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2E2B1FB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701680ED">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6F30999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7A2ECF38">
      <w:pPr>
        <w:spacing w:line="600" w:lineRule="exact"/>
        <w:ind w:firstLine="643"/>
        <w:outlineLvl w:val="9"/>
        <w:rPr>
          <w:rFonts w:ascii="仿宋" w:hAnsi="仿宋" w:cs="仿宋"/>
          <w:b/>
          <w:bCs/>
          <w:sz w:val="32"/>
          <w:szCs w:val="32"/>
        </w:rPr>
      </w:pPr>
      <w:r>
        <w:rPr>
          <w:rFonts w:hint="eastAsia" w:ascii="仿宋" w:hAnsi="仿宋" w:cs="仿宋"/>
          <w:b/>
          <w:bCs/>
          <w:sz w:val="32"/>
          <w:szCs w:val="32"/>
        </w:rPr>
        <w:t>5.评价结果反馈阶段</w:t>
      </w:r>
    </w:p>
    <w:p w14:paraId="776ACCC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7C98E074">
      <w:pPr>
        <w:spacing w:before="104" w:line="600" w:lineRule="exact"/>
        <w:ind w:firstLine="672"/>
        <w:outlineLvl w:val="0"/>
        <w:rPr>
          <w:rFonts w:ascii="黑体" w:hAnsi="黑体" w:eastAsia="黑体" w:cs="黑体"/>
          <w:spacing w:val="-2"/>
          <w:sz w:val="32"/>
          <w:szCs w:val="32"/>
        </w:rPr>
      </w:pPr>
      <w:bookmarkStart w:id="58" w:name="_Toc18689"/>
      <w:r>
        <w:rPr>
          <w:rFonts w:hint="eastAsia" w:ascii="黑体" w:hAnsi="黑体" w:eastAsia="黑体" w:cs="黑体"/>
          <w:spacing w:val="-2"/>
          <w:sz w:val="32"/>
          <w:szCs w:val="32"/>
        </w:rPr>
        <w:t>三、综合评价情况及评价结论</w:t>
      </w:r>
      <w:bookmarkEnd w:id="56"/>
      <w:bookmarkEnd w:id="58"/>
    </w:p>
    <w:p w14:paraId="3B4EB899">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按照确定的评分细则，通过对各项指标逐一评价打分，2023年度污水处理运行补助绩效评价得分为</w:t>
      </w:r>
      <w:r>
        <w:rPr>
          <w:rFonts w:hint="eastAsia" w:ascii="仿宋" w:hAnsi="仿宋" w:eastAsia="仿宋" w:cs="仿宋"/>
          <w:kern w:val="0"/>
          <w:sz w:val="32"/>
          <w:szCs w:val="32"/>
          <w:highlight w:val="none"/>
          <w:lang w:val="en-US" w:eastAsia="zh-CN"/>
        </w:rPr>
        <w:t>87</w:t>
      </w:r>
      <w:r>
        <w:rPr>
          <w:rFonts w:hint="eastAsia" w:ascii="仿宋" w:hAnsi="仿宋" w:eastAsia="仿宋" w:cs="仿宋"/>
          <w:kern w:val="0"/>
          <w:sz w:val="32"/>
          <w:szCs w:val="32"/>
          <w:highlight w:val="none"/>
        </w:rPr>
        <w:t>.0</w:t>
      </w:r>
      <w:r>
        <w:rPr>
          <w:rFonts w:hint="eastAsia" w:ascii="仿宋" w:hAnsi="仿宋" w:eastAsia="仿宋" w:cs="仿宋"/>
          <w:kern w:val="0"/>
          <w:sz w:val="32"/>
          <w:szCs w:val="32"/>
        </w:rPr>
        <w:t>分，评价结果等级为“</w:t>
      </w:r>
      <w:r>
        <w:rPr>
          <w:rFonts w:hint="eastAsia" w:ascii="仿宋" w:hAnsi="仿宋" w:eastAsia="仿宋" w:cs="仿宋"/>
          <w:kern w:val="0"/>
          <w:sz w:val="32"/>
          <w:szCs w:val="32"/>
          <w:lang w:val="en-US" w:eastAsia="zh-CN"/>
        </w:rPr>
        <w:t>良</w:t>
      </w:r>
      <w:r>
        <w:rPr>
          <w:rFonts w:hint="eastAsia" w:ascii="仿宋" w:hAnsi="仿宋" w:eastAsia="仿宋" w:cs="仿宋"/>
          <w:kern w:val="0"/>
          <w:sz w:val="32"/>
          <w:szCs w:val="32"/>
        </w:rPr>
        <w:t>”，评分情况详见下表。</w:t>
      </w:r>
    </w:p>
    <w:p w14:paraId="6D1176E2">
      <w:pPr>
        <w:pStyle w:val="20"/>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14"/>
        <w:tblW w:w="5000" w:type="pct"/>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5E08E11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jc w:val="center"/>
        </w:trPr>
        <w:tc>
          <w:tcPr>
            <w:tcW w:w="5000" w:type="pct"/>
            <w:gridSpan w:val="4"/>
            <w:vAlign w:val="center"/>
          </w:tcPr>
          <w:p w14:paraId="341E5C9C">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041AE83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jc w:val="center"/>
        </w:trPr>
        <w:tc>
          <w:tcPr>
            <w:tcW w:w="1187" w:type="pct"/>
            <w:vAlign w:val="center"/>
          </w:tcPr>
          <w:p w14:paraId="74B70E0A">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4A008BFC">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3F30EB83">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5247CD6B">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487B62C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p w14:paraId="091E4295">
            <w:pPr>
              <w:jc w:val="center"/>
            </w:pPr>
            <w:r>
              <w:rPr>
                <w:rFonts w:ascii="仿宋" w:hAnsi="仿宋" w:eastAsia="仿宋" w:cs="仿宋"/>
                <w:b w:val="0"/>
                <w:sz w:val="32"/>
              </w:rPr>
              <w:t>决策指标</w:t>
            </w:r>
          </w:p>
        </w:tc>
        <w:tc>
          <w:p w14:paraId="2F37DC96">
            <w:pPr>
              <w:jc w:val="center"/>
            </w:pPr>
            <w:r>
              <w:rPr>
                <w:rFonts w:ascii="仿宋" w:hAnsi="仿宋" w:eastAsia="仿宋" w:cs="仿宋"/>
                <w:b w:val="0"/>
                <w:sz w:val="32"/>
              </w:rPr>
              <w:t>18.0</w:t>
            </w:r>
          </w:p>
        </w:tc>
        <w:tc>
          <w:p w14:paraId="6CF27B52">
            <w:pPr>
              <w:jc w:val="center"/>
            </w:pPr>
            <w:r>
              <w:rPr>
                <w:rFonts w:ascii="仿宋" w:hAnsi="仿宋" w:eastAsia="仿宋" w:cs="仿宋"/>
                <w:b w:val="0"/>
                <w:sz w:val="32"/>
              </w:rPr>
              <w:t>1</w:t>
            </w:r>
            <w:r>
              <w:rPr>
                <w:rFonts w:hint="eastAsia" w:ascii="仿宋" w:hAnsi="仿宋" w:eastAsia="仿宋" w:cs="仿宋"/>
                <w:b w:val="0"/>
                <w:sz w:val="32"/>
                <w:lang w:val="en-US" w:eastAsia="zh-CN"/>
              </w:rPr>
              <w:t>5</w:t>
            </w:r>
            <w:r>
              <w:rPr>
                <w:rFonts w:ascii="仿宋" w:hAnsi="仿宋" w:eastAsia="仿宋" w:cs="仿宋"/>
                <w:b w:val="0"/>
                <w:sz w:val="32"/>
              </w:rPr>
              <w:t>.0</w:t>
            </w:r>
          </w:p>
        </w:tc>
        <w:tc>
          <w:p w14:paraId="5A60ED91">
            <w:pPr>
              <w:jc w:val="center"/>
            </w:pPr>
            <w:r>
              <w:rPr>
                <w:rFonts w:hint="eastAsia" w:ascii="仿宋" w:hAnsi="仿宋" w:eastAsia="仿宋" w:cs="仿宋"/>
                <w:b w:val="0"/>
                <w:sz w:val="32"/>
                <w:lang w:val="en-US" w:eastAsia="zh-CN"/>
              </w:rPr>
              <w:t>83</w:t>
            </w:r>
            <w:r>
              <w:rPr>
                <w:rFonts w:ascii="仿宋" w:hAnsi="仿宋" w:eastAsia="仿宋" w:cs="仿宋"/>
                <w:b w:val="0"/>
                <w:sz w:val="32"/>
              </w:rPr>
              <w:t>.</w:t>
            </w:r>
            <w:r>
              <w:rPr>
                <w:rFonts w:hint="eastAsia" w:ascii="仿宋" w:hAnsi="仿宋" w:eastAsia="仿宋" w:cs="仿宋"/>
                <w:b w:val="0"/>
                <w:sz w:val="32"/>
                <w:lang w:val="en-US" w:eastAsia="zh-CN"/>
              </w:rPr>
              <w:t>33</w:t>
            </w:r>
            <w:r>
              <w:rPr>
                <w:rFonts w:ascii="仿宋" w:hAnsi="仿宋" w:eastAsia="仿宋" w:cs="仿宋"/>
                <w:b w:val="0"/>
                <w:sz w:val="32"/>
              </w:rPr>
              <w:t>%</w:t>
            </w:r>
          </w:p>
        </w:tc>
      </w:tr>
      <w:tr w14:paraId="1172D8D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p w14:paraId="71BDF650">
            <w:pPr>
              <w:jc w:val="center"/>
            </w:pPr>
            <w:r>
              <w:rPr>
                <w:rFonts w:ascii="仿宋" w:hAnsi="仿宋" w:eastAsia="仿宋" w:cs="仿宋"/>
                <w:b w:val="0"/>
                <w:sz w:val="32"/>
              </w:rPr>
              <w:t>过程指标</w:t>
            </w:r>
          </w:p>
        </w:tc>
        <w:tc>
          <w:p w14:paraId="4EE403C1">
            <w:pPr>
              <w:jc w:val="center"/>
            </w:pPr>
            <w:r>
              <w:rPr>
                <w:rFonts w:ascii="仿宋" w:hAnsi="仿宋" w:eastAsia="仿宋" w:cs="仿宋"/>
                <w:b w:val="0"/>
                <w:sz w:val="32"/>
              </w:rPr>
              <w:t>22.0</w:t>
            </w:r>
          </w:p>
        </w:tc>
        <w:tc>
          <w:p w14:paraId="316874D5">
            <w:pPr>
              <w:jc w:val="center"/>
            </w:pPr>
            <w:r>
              <w:rPr>
                <w:rFonts w:ascii="仿宋" w:hAnsi="仿宋" w:eastAsia="仿宋" w:cs="仿宋"/>
                <w:b w:val="0"/>
                <w:sz w:val="32"/>
              </w:rPr>
              <w:t>21.0</w:t>
            </w:r>
          </w:p>
        </w:tc>
        <w:tc>
          <w:p w14:paraId="40135F9A">
            <w:pPr>
              <w:jc w:val="center"/>
            </w:pPr>
            <w:r>
              <w:rPr>
                <w:rFonts w:ascii="仿宋" w:hAnsi="仿宋" w:eastAsia="仿宋" w:cs="仿宋"/>
                <w:b w:val="0"/>
                <w:sz w:val="32"/>
              </w:rPr>
              <w:t>95.45%</w:t>
            </w:r>
          </w:p>
        </w:tc>
      </w:tr>
      <w:tr w14:paraId="1DEA5C3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p w14:paraId="5F964F6C">
            <w:pPr>
              <w:jc w:val="center"/>
            </w:pPr>
            <w:r>
              <w:rPr>
                <w:rFonts w:ascii="仿宋" w:hAnsi="仿宋" w:eastAsia="仿宋" w:cs="仿宋"/>
                <w:b w:val="0"/>
                <w:sz w:val="32"/>
              </w:rPr>
              <w:t>产出指标</w:t>
            </w:r>
          </w:p>
        </w:tc>
        <w:tc>
          <w:p w14:paraId="47551FF3">
            <w:pPr>
              <w:jc w:val="center"/>
            </w:pPr>
            <w:r>
              <w:rPr>
                <w:rFonts w:ascii="仿宋" w:hAnsi="仿宋" w:eastAsia="仿宋" w:cs="仿宋"/>
                <w:b w:val="0"/>
                <w:sz w:val="32"/>
              </w:rPr>
              <w:t>36.0</w:t>
            </w:r>
          </w:p>
        </w:tc>
        <w:tc>
          <w:p w14:paraId="3E96270E">
            <w:pPr>
              <w:jc w:val="center"/>
            </w:pPr>
            <w:r>
              <w:rPr>
                <w:rFonts w:hint="eastAsia" w:ascii="仿宋" w:hAnsi="仿宋" w:eastAsia="仿宋" w:cs="仿宋"/>
                <w:b w:val="0"/>
                <w:sz w:val="32"/>
                <w:lang w:val="en-US" w:eastAsia="zh-CN"/>
              </w:rPr>
              <w:t>27</w:t>
            </w:r>
            <w:r>
              <w:rPr>
                <w:rFonts w:ascii="仿宋" w:hAnsi="仿宋" w:eastAsia="仿宋" w:cs="仿宋"/>
                <w:b w:val="0"/>
                <w:sz w:val="32"/>
              </w:rPr>
              <w:t>.0</w:t>
            </w:r>
          </w:p>
        </w:tc>
        <w:tc>
          <w:p w14:paraId="688BD772">
            <w:pPr>
              <w:jc w:val="center"/>
            </w:pPr>
            <w:r>
              <w:rPr>
                <w:rFonts w:hint="eastAsia" w:ascii="仿宋" w:hAnsi="仿宋" w:eastAsia="仿宋" w:cs="仿宋"/>
                <w:b w:val="0"/>
                <w:sz w:val="32"/>
                <w:lang w:val="en-US" w:eastAsia="zh-CN"/>
              </w:rPr>
              <w:t>75</w:t>
            </w:r>
            <w:r>
              <w:rPr>
                <w:rFonts w:ascii="仿宋" w:hAnsi="仿宋" w:eastAsia="仿宋" w:cs="仿宋"/>
                <w:b w:val="0"/>
                <w:sz w:val="32"/>
              </w:rPr>
              <w:t>.00%</w:t>
            </w:r>
          </w:p>
        </w:tc>
      </w:tr>
      <w:tr w14:paraId="551CB12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p w14:paraId="5DC6E587">
            <w:pPr>
              <w:jc w:val="center"/>
            </w:pPr>
            <w:r>
              <w:rPr>
                <w:rFonts w:ascii="仿宋" w:hAnsi="仿宋" w:eastAsia="仿宋" w:cs="仿宋"/>
                <w:b w:val="0"/>
                <w:sz w:val="32"/>
              </w:rPr>
              <w:t>效益指标</w:t>
            </w:r>
          </w:p>
        </w:tc>
        <w:tc>
          <w:p w14:paraId="513A6057">
            <w:pPr>
              <w:jc w:val="center"/>
            </w:pPr>
            <w:r>
              <w:rPr>
                <w:rFonts w:ascii="仿宋" w:hAnsi="仿宋" w:eastAsia="仿宋" w:cs="仿宋"/>
                <w:b w:val="0"/>
                <w:sz w:val="32"/>
              </w:rPr>
              <w:t>24.0</w:t>
            </w:r>
          </w:p>
        </w:tc>
        <w:tc>
          <w:p w14:paraId="5910D561">
            <w:pPr>
              <w:jc w:val="center"/>
            </w:pPr>
            <w:r>
              <w:rPr>
                <w:rFonts w:ascii="仿宋" w:hAnsi="仿宋" w:eastAsia="仿宋" w:cs="仿宋"/>
                <w:b w:val="0"/>
                <w:sz w:val="32"/>
              </w:rPr>
              <w:t>24.0</w:t>
            </w:r>
          </w:p>
        </w:tc>
        <w:tc>
          <w:p w14:paraId="056FF63A">
            <w:pPr>
              <w:jc w:val="center"/>
            </w:pPr>
            <w:r>
              <w:rPr>
                <w:rFonts w:ascii="仿宋" w:hAnsi="仿宋" w:eastAsia="仿宋" w:cs="仿宋"/>
                <w:b w:val="0"/>
                <w:sz w:val="32"/>
              </w:rPr>
              <w:t>100.00%</w:t>
            </w:r>
          </w:p>
        </w:tc>
      </w:tr>
    </w:tbl>
    <w:p w14:paraId="4DE2C480">
      <w:pPr>
        <w:spacing w:before="104" w:line="600" w:lineRule="exact"/>
        <w:ind w:firstLine="672"/>
        <w:outlineLvl w:val="0"/>
        <w:rPr>
          <w:rFonts w:ascii="黑体" w:hAnsi="黑体" w:eastAsia="黑体" w:cs="黑体"/>
          <w:spacing w:val="-2"/>
          <w:sz w:val="32"/>
          <w:szCs w:val="32"/>
        </w:rPr>
      </w:pPr>
      <w:bookmarkStart w:id="60" w:name="_Toc15697"/>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Hlk2366513"/>
      <w:bookmarkStart w:id="62" w:name="_Toc17947"/>
      <w:bookmarkStart w:id="63" w:name="_Toc4780_WPSOffice_Level2"/>
      <w:bookmarkStart w:id="64" w:name="_Toc24823_WPSOffice_Level2"/>
      <w:bookmarkStart w:id="65" w:name="_Toc18549_WPSOffice_Level2"/>
      <w:bookmarkStart w:id="66" w:name="_Toc28988"/>
      <w:bookmarkStart w:id="67" w:name="_Toc26570_WPSOffice_Level2"/>
      <w:bookmarkStart w:id="68" w:name="_Toc379"/>
    </w:p>
    <w:p w14:paraId="49C110B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69" w:name="_Toc30787"/>
      <w:r>
        <w:rPr>
          <w:rFonts w:hint="eastAsia" w:ascii="楷体_GB2312" w:hAnsi="楷体_GB2312" w:eastAsia="楷体_GB2312" w:cs="楷体_GB2312"/>
          <w:b/>
          <w:bCs/>
          <w:kern w:val="0"/>
          <w:sz w:val="32"/>
          <w:szCs w:val="32"/>
        </w:rPr>
        <w:t>（一）决策指标（满分18.0分，实得1</w:t>
      </w:r>
      <w:r>
        <w:rPr>
          <w:rFonts w:hint="eastAsia" w:ascii="楷体_GB2312" w:hAnsi="楷体_GB2312" w:eastAsia="楷体_GB2312" w:cs="楷体_GB2312"/>
          <w:b/>
          <w:bCs/>
          <w:kern w:val="0"/>
          <w:sz w:val="32"/>
          <w:szCs w:val="32"/>
          <w:lang w:val="en-US" w:eastAsia="zh-CN"/>
        </w:rPr>
        <w:t>5</w:t>
      </w:r>
      <w:r>
        <w:rPr>
          <w:rFonts w:hint="eastAsia" w:ascii="楷体_GB2312" w:hAnsi="楷体_GB2312" w:eastAsia="楷体_GB2312" w:cs="楷体_GB2312"/>
          <w:b/>
          <w:bCs/>
          <w:kern w:val="0"/>
          <w:sz w:val="32"/>
          <w:szCs w:val="32"/>
        </w:rPr>
        <w:t>.0分）</w:t>
      </w:r>
      <w:bookmarkEnd w:id="69"/>
    </w:p>
    <w:p w14:paraId="2B078B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1710B0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2F77F4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扶风县农村人居环境整治长效管护机制实施方案（暂行）》，扶风县住房和城乡建设局编列2023年度污水处理运行项目计划，经财政局审核，列入部门预算。项目由扶风县住房和城乡建设局负责实施。经分析，项目立项</w:t>
      </w:r>
      <w:r>
        <w:rPr>
          <w:rFonts w:hint="eastAsia" w:ascii="仿宋" w:hAnsi="仿宋" w:eastAsia="仿宋" w:cs="仿宋"/>
          <w:kern w:val="0"/>
          <w:sz w:val="32"/>
          <w:szCs w:val="32"/>
          <w:lang w:val="en-US" w:eastAsia="zh-CN"/>
        </w:rPr>
        <w:t>符合国家和社会环保政策要求，与部门职责范围相符、符合当地国民经济发展规划</w:t>
      </w:r>
      <w:r>
        <w:rPr>
          <w:rFonts w:hint="eastAsia" w:ascii="仿宋" w:hAnsi="仿宋" w:eastAsia="仿宋" w:cs="仿宋"/>
          <w:kern w:val="0"/>
          <w:sz w:val="32"/>
          <w:szCs w:val="32"/>
          <w:lang w:eastAsia="zh-CN"/>
        </w:rPr>
        <w:t>，</w:t>
      </w:r>
      <w:r>
        <w:rPr>
          <w:rFonts w:ascii="仿宋" w:hAnsi="仿宋" w:eastAsia="仿宋" w:cs="仿宋"/>
          <w:kern w:val="0"/>
          <w:sz w:val="32"/>
          <w:szCs w:val="32"/>
        </w:rPr>
        <w:t>符合行业发展规划</w:t>
      </w:r>
      <w:r>
        <w:rPr>
          <w:rFonts w:hint="eastAsia" w:ascii="仿宋" w:hAnsi="仿宋" w:eastAsia="仿宋" w:cs="仿宋"/>
          <w:kern w:val="0"/>
          <w:sz w:val="32"/>
          <w:szCs w:val="32"/>
          <w:lang w:eastAsia="zh-CN"/>
        </w:rPr>
        <w:t>，</w:t>
      </w:r>
      <w:r>
        <w:rPr>
          <w:rFonts w:ascii="仿宋" w:hAnsi="仿宋" w:eastAsia="仿宋" w:cs="仿宋"/>
          <w:kern w:val="0"/>
          <w:sz w:val="32"/>
          <w:szCs w:val="32"/>
        </w:rPr>
        <w:t>属于公共财政支持范围</w:t>
      </w:r>
      <w:r>
        <w:rPr>
          <w:rFonts w:hint="eastAsia" w:ascii="仿宋" w:hAnsi="仿宋" w:eastAsia="仿宋" w:cs="仿宋"/>
          <w:kern w:val="0"/>
          <w:sz w:val="32"/>
          <w:szCs w:val="32"/>
          <w:lang w:eastAsia="zh-CN"/>
        </w:rPr>
        <w:t>，</w:t>
      </w:r>
      <w:r>
        <w:rPr>
          <w:rFonts w:ascii="仿宋" w:hAnsi="仿宋" w:eastAsia="仿宋" w:cs="仿宋"/>
          <w:kern w:val="0"/>
          <w:sz w:val="32"/>
          <w:szCs w:val="32"/>
        </w:rPr>
        <w:t>与相关部门同类项目或部门内部相关项目不重复。</w:t>
      </w:r>
    </w:p>
    <w:p w14:paraId="0A218B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5821B2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410B54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项目由扶风县住房和城乡建设局申请，经扶风县财政局审核，经人大会议审批，列入部门预算。经分析，项目事前经过必要的集体决策</w:t>
      </w:r>
      <w:r>
        <w:rPr>
          <w:rFonts w:hint="eastAsia" w:ascii="仿宋" w:hAnsi="仿宋" w:eastAsia="仿宋" w:cs="仿宋"/>
          <w:kern w:val="0"/>
          <w:sz w:val="32"/>
          <w:szCs w:val="32"/>
          <w:lang w:eastAsia="zh-CN"/>
        </w:rPr>
        <w:t>，</w:t>
      </w:r>
      <w:r>
        <w:rPr>
          <w:rFonts w:ascii="仿宋" w:hAnsi="仿宋" w:eastAsia="仿宋" w:cs="仿宋"/>
          <w:kern w:val="0"/>
          <w:sz w:val="32"/>
          <w:szCs w:val="32"/>
        </w:rPr>
        <w:t>已经按照</w:t>
      </w:r>
      <w:r>
        <w:rPr>
          <w:rFonts w:ascii="仿宋" w:hAnsi="仿宋" w:eastAsia="仿宋" w:cs="仿宋"/>
          <w:kern w:val="0"/>
          <w:sz w:val="32"/>
          <w:szCs w:val="32"/>
          <w:highlight w:val="none"/>
        </w:rPr>
        <w:t>规定的</w:t>
      </w:r>
      <w:r>
        <w:rPr>
          <w:rFonts w:ascii="仿宋" w:hAnsi="仿宋" w:eastAsia="仿宋" w:cs="仿宋"/>
          <w:kern w:val="0"/>
          <w:sz w:val="32"/>
          <w:szCs w:val="32"/>
        </w:rPr>
        <w:t>程序申请设立；审批文件、材料符合相关要求。</w:t>
      </w:r>
    </w:p>
    <w:p w14:paraId="4CC1B8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7108A8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w:t>
      </w:r>
      <w:r>
        <w:rPr>
          <w:rFonts w:hint="eastAsia" w:ascii="仿宋" w:hAnsi="仿宋" w:eastAsia="仿宋" w:cs="仿宋"/>
          <w:kern w:val="0"/>
          <w:sz w:val="32"/>
          <w:szCs w:val="32"/>
          <w:lang w:val="en-US" w:eastAsia="zh-CN"/>
        </w:rPr>
        <w:t>4</w:t>
      </w:r>
      <w:r>
        <w:rPr>
          <w:rFonts w:ascii="仿宋" w:hAnsi="仿宋" w:eastAsia="仿宋" w:cs="仿宋"/>
          <w:kern w:val="0"/>
          <w:sz w:val="32"/>
          <w:szCs w:val="32"/>
        </w:rPr>
        <w:t>.0分）</w:t>
      </w:r>
    </w:p>
    <w:p w14:paraId="29FAED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lang w:val="en-US" w:eastAsia="zh-CN"/>
        </w:rPr>
        <w:t>1</w:t>
      </w:r>
      <w:r>
        <w:rPr>
          <w:rFonts w:ascii="仿宋" w:hAnsi="仿宋" w:eastAsia="仿宋" w:cs="仿宋"/>
          <w:kern w:val="0"/>
          <w:sz w:val="32"/>
          <w:szCs w:val="32"/>
        </w:rPr>
        <w:t>）绩效目标合理性（满分4.0分，实得</w:t>
      </w:r>
      <w:r>
        <w:rPr>
          <w:rFonts w:hint="eastAsia" w:ascii="仿宋" w:hAnsi="仿宋" w:eastAsia="仿宋" w:cs="仿宋"/>
          <w:kern w:val="0"/>
          <w:sz w:val="32"/>
          <w:szCs w:val="32"/>
          <w:lang w:val="en-US" w:eastAsia="zh-CN"/>
        </w:rPr>
        <w:t>3</w:t>
      </w:r>
      <w:r>
        <w:rPr>
          <w:rFonts w:ascii="仿宋" w:hAnsi="仿宋" w:eastAsia="仿宋" w:cs="仿宋"/>
          <w:kern w:val="0"/>
          <w:sz w:val="32"/>
          <w:szCs w:val="32"/>
        </w:rPr>
        <w:t>.0分）</w:t>
      </w:r>
    </w:p>
    <w:p w14:paraId="642AD9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申报了1、按照相关部门有关规定，处理绛帐镇工业园区、绛帐老街道及附近工厂村庄生活污水及工业废水的污水处理工作，出水水质执行《城镇污水处理厂污染物排放标准(DB61/224-2018，/)的一级A类标准；2、完善污泥处理处置方面的设施及环境，以及规范化储存、合理化处理危固废液为绩效目标。</w:t>
      </w:r>
    </w:p>
    <w:p w14:paraId="63375E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val="en-US" w:eastAsia="zh-CN"/>
        </w:rPr>
      </w:pPr>
      <w:r>
        <w:rPr>
          <w:rFonts w:ascii="仿宋" w:hAnsi="仿宋" w:eastAsia="仿宋" w:cs="仿宋"/>
          <w:kern w:val="0"/>
          <w:sz w:val="32"/>
          <w:szCs w:val="32"/>
        </w:rPr>
        <w:t>经分析，项目根据扶风县住房和城乡建设局财务管理制度申报了绩效目标；项目绩效目标与实际工作内容相关；预期产出效益和效果符合正常的业绩水平；</w:t>
      </w:r>
      <w:r>
        <w:rPr>
          <w:rFonts w:hint="eastAsia" w:ascii="仿宋" w:hAnsi="仿宋" w:eastAsia="仿宋" w:cs="仿宋"/>
          <w:kern w:val="0"/>
          <w:sz w:val="32"/>
          <w:szCs w:val="32"/>
          <w:lang w:val="en-US" w:eastAsia="zh-CN"/>
        </w:rPr>
        <w:t>初步预算的200万元</w:t>
      </w:r>
      <w:r>
        <w:rPr>
          <w:rFonts w:ascii="仿宋" w:hAnsi="仿宋" w:eastAsia="仿宋" w:cs="仿宋"/>
          <w:kern w:val="0"/>
          <w:sz w:val="32"/>
          <w:szCs w:val="32"/>
        </w:rPr>
        <w:t>与预算确定的项目投资额或资金量</w:t>
      </w:r>
      <w:r>
        <w:rPr>
          <w:rFonts w:hint="eastAsia" w:ascii="仿宋" w:hAnsi="仿宋" w:eastAsia="仿宋" w:cs="仿宋"/>
          <w:kern w:val="0"/>
          <w:sz w:val="32"/>
          <w:szCs w:val="32"/>
          <w:lang w:val="en-US" w:eastAsia="zh-CN"/>
        </w:rPr>
        <w:t>不</w:t>
      </w:r>
      <w:r>
        <w:rPr>
          <w:rFonts w:ascii="仿宋" w:hAnsi="仿宋" w:eastAsia="仿宋" w:cs="仿宋"/>
          <w:kern w:val="0"/>
          <w:sz w:val="32"/>
          <w:szCs w:val="32"/>
        </w:rPr>
        <w:t>匹配。</w:t>
      </w:r>
    </w:p>
    <w:p w14:paraId="2B6DF1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w:t>
      </w:r>
      <w:r>
        <w:rPr>
          <w:rFonts w:hint="eastAsia" w:ascii="仿宋" w:hAnsi="仿宋" w:eastAsia="仿宋" w:cs="仿宋"/>
          <w:kern w:val="0"/>
          <w:sz w:val="32"/>
          <w:szCs w:val="32"/>
          <w:lang w:val="en-US" w:eastAsia="zh-CN"/>
        </w:rPr>
        <w:t>1</w:t>
      </w:r>
      <w:r>
        <w:rPr>
          <w:rFonts w:ascii="仿宋" w:hAnsi="仿宋" w:eastAsia="仿宋" w:cs="仿宋"/>
          <w:kern w:val="0"/>
          <w:sz w:val="32"/>
          <w:szCs w:val="32"/>
        </w:rPr>
        <w:t>.0分，评价得</w:t>
      </w:r>
      <w:r>
        <w:rPr>
          <w:rFonts w:hint="eastAsia" w:ascii="仿宋" w:hAnsi="仿宋" w:eastAsia="仿宋" w:cs="仿宋"/>
          <w:kern w:val="0"/>
          <w:sz w:val="32"/>
          <w:szCs w:val="32"/>
          <w:lang w:val="en-US" w:eastAsia="zh-CN"/>
        </w:rPr>
        <w:t>3</w:t>
      </w:r>
      <w:r>
        <w:rPr>
          <w:rFonts w:ascii="仿宋" w:hAnsi="仿宋" w:eastAsia="仿宋" w:cs="仿宋"/>
          <w:kern w:val="0"/>
          <w:sz w:val="32"/>
          <w:szCs w:val="32"/>
        </w:rPr>
        <w:t>.0分。</w:t>
      </w:r>
    </w:p>
    <w:p w14:paraId="1370A8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lang w:val="en-US" w:eastAsia="zh-CN"/>
        </w:rPr>
        <w:t>2</w:t>
      </w:r>
      <w:r>
        <w:rPr>
          <w:rFonts w:ascii="仿宋" w:hAnsi="仿宋" w:eastAsia="仿宋" w:cs="仿宋"/>
          <w:kern w:val="0"/>
          <w:sz w:val="32"/>
          <w:szCs w:val="32"/>
        </w:rPr>
        <w:t>）绩效指标明确性（满分3.0分，实得</w:t>
      </w:r>
      <w:r>
        <w:rPr>
          <w:rFonts w:hint="eastAsia" w:ascii="仿宋" w:hAnsi="仿宋" w:eastAsia="仿宋" w:cs="仿宋"/>
          <w:kern w:val="0"/>
          <w:sz w:val="32"/>
          <w:szCs w:val="32"/>
          <w:lang w:val="en-US" w:eastAsia="zh-CN"/>
        </w:rPr>
        <w:t>1</w:t>
      </w:r>
      <w:r>
        <w:rPr>
          <w:rFonts w:ascii="仿宋" w:hAnsi="仿宋" w:eastAsia="仿宋" w:cs="仿宋"/>
          <w:kern w:val="0"/>
          <w:sz w:val="32"/>
          <w:szCs w:val="32"/>
        </w:rPr>
        <w:t>.0分）</w:t>
      </w:r>
    </w:p>
    <w:p w14:paraId="023B50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val="en-US" w:eastAsia="zh-CN"/>
        </w:rPr>
      </w:pPr>
      <w:r>
        <w:rPr>
          <w:rFonts w:ascii="仿宋" w:hAnsi="仿宋" w:eastAsia="仿宋" w:cs="仿宋"/>
          <w:kern w:val="0"/>
          <w:sz w:val="32"/>
          <w:szCs w:val="32"/>
        </w:rPr>
        <w:t>项目申报产出指标</w:t>
      </w:r>
      <w:r>
        <w:rPr>
          <w:rFonts w:hint="eastAsia" w:ascii="仿宋" w:hAnsi="仿宋" w:eastAsia="仿宋" w:cs="仿宋"/>
          <w:kern w:val="0"/>
          <w:sz w:val="32"/>
          <w:szCs w:val="32"/>
          <w:lang w:eastAsia="zh-CN"/>
        </w:rPr>
        <w:t>：</w:t>
      </w:r>
      <w:r>
        <w:rPr>
          <w:rFonts w:ascii="仿宋" w:hAnsi="仿宋" w:eastAsia="仿宋" w:cs="仿宋"/>
          <w:kern w:val="0"/>
          <w:sz w:val="32"/>
          <w:szCs w:val="32"/>
        </w:rPr>
        <w:t>全年</w:t>
      </w:r>
      <w:r>
        <w:rPr>
          <w:rFonts w:hint="eastAsia" w:ascii="仿宋" w:hAnsi="仿宋" w:eastAsia="仿宋" w:cs="仿宋"/>
          <w:kern w:val="0"/>
          <w:sz w:val="32"/>
          <w:szCs w:val="32"/>
          <w:highlight w:val="none"/>
          <w:lang w:val="en-US" w:eastAsia="zh-CN"/>
        </w:rPr>
        <w:t>处理</w:t>
      </w:r>
      <w:r>
        <w:rPr>
          <w:rFonts w:ascii="仿宋" w:hAnsi="仿宋" w:eastAsia="仿宋" w:cs="仿宋"/>
          <w:kern w:val="0"/>
          <w:sz w:val="32"/>
          <w:szCs w:val="32"/>
        </w:rPr>
        <w:t>排放污水133.1万吨，污水处理率达96%，平均出水指标完全达到陕西省黄河流域污水综合排放标准(DB61/224-2018,/)，于2023年度完成；</w:t>
      </w:r>
    </w:p>
    <w:p w14:paraId="6000FD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项目申报</w:t>
      </w:r>
      <w:r>
        <w:rPr>
          <w:rFonts w:hint="eastAsia" w:ascii="仿宋" w:hAnsi="仿宋" w:eastAsia="仿宋" w:cs="仿宋"/>
          <w:kern w:val="0"/>
          <w:sz w:val="32"/>
          <w:szCs w:val="32"/>
          <w:lang w:val="en-US" w:eastAsia="zh-CN"/>
        </w:rPr>
        <w:t>效益</w:t>
      </w:r>
      <w:r>
        <w:rPr>
          <w:rFonts w:ascii="仿宋" w:hAnsi="仿宋" w:eastAsia="仿宋" w:cs="仿宋"/>
          <w:kern w:val="0"/>
          <w:sz w:val="32"/>
          <w:szCs w:val="32"/>
        </w:rPr>
        <w:t>指标</w:t>
      </w:r>
      <w:r>
        <w:rPr>
          <w:rFonts w:hint="eastAsia" w:ascii="仿宋" w:hAnsi="仿宋" w:eastAsia="仿宋" w:cs="仿宋"/>
          <w:kern w:val="0"/>
          <w:sz w:val="32"/>
          <w:szCs w:val="32"/>
          <w:lang w:eastAsia="zh-CN"/>
        </w:rPr>
        <w:t>：</w:t>
      </w:r>
      <w:r>
        <w:rPr>
          <w:rFonts w:ascii="仿宋" w:hAnsi="仿宋" w:eastAsia="仿宋" w:cs="仿宋"/>
          <w:kern w:val="0"/>
          <w:sz w:val="32"/>
          <w:szCs w:val="32"/>
        </w:rPr>
        <w:t>对绛帐工业园区、绛帐镇区、附近村组产生的工业废水及生活污水及时处理，达标排放</w:t>
      </w:r>
      <w:r>
        <w:rPr>
          <w:rFonts w:hint="eastAsia" w:ascii="仿宋" w:hAnsi="仿宋" w:eastAsia="仿宋" w:cs="仿宋"/>
          <w:kern w:val="0"/>
          <w:sz w:val="32"/>
          <w:szCs w:val="32"/>
          <w:lang w:eastAsia="zh-CN"/>
        </w:rPr>
        <w:t>；</w:t>
      </w:r>
      <w:r>
        <w:rPr>
          <w:rFonts w:ascii="仿宋" w:hAnsi="仿宋" w:eastAsia="仿宋" w:cs="仿宋"/>
          <w:kern w:val="0"/>
          <w:sz w:val="32"/>
          <w:szCs w:val="32"/>
        </w:rPr>
        <w:t>平均出水指标完全达到陕西省黄河流域污水综合排放标准(DB61/224-2018,/)。</w:t>
      </w:r>
    </w:p>
    <w:p w14:paraId="765213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highlight w:val="yellow"/>
          <w:lang w:val="en-US" w:eastAsia="zh-CN"/>
        </w:rPr>
      </w:pPr>
      <w:r>
        <w:rPr>
          <w:rFonts w:ascii="仿宋" w:hAnsi="仿宋" w:eastAsia="仿宋" w:cs="仿宋"/>
          <w:kern w:val="0"/>
          <w:sz w:val="32"/>
          <w:szCs w:val="32"/>
        </w:rPr>
        <w:t>项目设置的具体绩效指标值以历史数据为基础。经分析，项目已将绩效目标进行了细化分解，绩效指标与项目目标任务数或计划数相对应；</w:t>
      </w:r>
      <w:r>
        <w:rPr>
          <w:rFonts w:hint="eastAsia" w:ascii="仿宋" w:hAnsi="仿宋" w:eastAsia="仿宋" w:cs="仿宋"/>
          <w:kern w:val="0"/>
          <w:sz w:val="32"/>
          <w:szCs w:val="32"/>
          <w:highlight w:val="none"/>
          <w:lang w:val="en-US" w:eastAsia="zh-CN"/>
        </w:rPr>
        <w:t>效益指标不清晰、无法衡量，与任务书无法对应。</w:t>
      </w:r>
    </w:p>
    <w:p w14:paraId="0C925A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w:t>
      </w:r>
      <w:r>
        <w:rPr>
          <w:rFonts w:hint="eastAsia" w:ascii="仿宋" w:hAnsi="仿宋" w:eastAsia="仿宋" w:cs="仿宋"/>
          <w:kern w:val="0"/>
          <w:sz w:val="32"/>
          <w:szCs w:val="32"/>
          <w:lang w:val="en-US" w:eastAsia="zh-CN"/>
        </w:rPr>
        <w:t>2</w:t>
      </w:r>
      <w:r>
        <w:rPr>
          <w:rFonts w:ascii="仿宋" w:hAnsi="仿宋" w:eastAsia="仿宋" w:cs="仿宋"/>
          <w:kern w:val="0"/>
          <w:sz w:val="32"/>
          <w:szCs w:val="32"/>
        </w:rPr>
        <w:t>.0分，评价得</w:t>
      </w:r>
      <w:r>
        <w:rPr>
          <w:rFonts w:hint="eastAsia" w:ascii="仿宋" w:hAnsi="仿宋" w:eastAsia="仿宋" w:cs="仿宋"/>
          <w:kern w:val="0"/>
          <w:sz w:val="32"/>
          <w:szCs w:val="32"/>
          <w:lang w:val="en-US" w:eastAsia="zh-CN"/>
        </w:rPr>
        <w:t>1</w:t>
      </w:r>
      <w:r>
        <w:rPr>
          <w:rFonts w:ascii="仿宋" w:hAnsi="仿宋" w:eastAsia="仿宋" w:cs="仿宋"/>
          <w:kern w:val="0"/>
          <w:sz w:val="32"/>
          <w:szCs w:val="32"/>
        </w:rPr>
        <w:t>.0分。</w:t>
      </w:r>
    </w:p>
    <w:p w14:paraId="421DAC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1F54F6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37C88A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 xml:space="preserve">项目由扶风县住房和城乡建设局申请，经扶风县财政局审核，经人大会议审批，列入部门预算。经分析，预算编制经过科学论证；预算内容与项目内容相匹配；预算额度测算依据充分；预算确定的项目投资额与工作任务相匹配。 </w:t>
      </w:r>
    </w:p>
    <w:p w14:paraId="69D842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0ADCBD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193528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 xml:space="preserve">扶风县财政局于2023年1月27日以《关于批复2023年度部门综合预算的通知》（扶财办预〔2023〕1号）、《扶风县财政局关于下达财政预算支出指标的通知》（扶财办预〔2023〕030号）、《扶风县财政局关于下达财政预算支出指标的通知》（扶财办预〔2023〕119号）、《扶风县财政局关于下达财政预算支出指标的通知》（扶财办预〔2023〕154号）向扶风县住房和城乡建设局下达预算资金。资金拨付以批准的部门预算额度为准，如确需追加预算的，由扶风县住房和城乡建设局按专项资金设立程序提出申请报扶风县财政局，并按照权限由扶风县财政局审定。经分析，预算资金分配依据充分；资金分配额度合理，与项目实际相适应。 </w:t>
      </w:r>
    </w:p>
    <w:p w14:paraId="243B12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0D5F6B3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0" w:name="_Toc16697"/>
      <w:r>
        <w:rPr>
          <w:rFonts w:hint="eastAsia" w:ascii="楷体_GB2312" w:hAnsi="楷体_GB2312" w:eastAsia="楷体_GB2312" w:cs="楷体_GB2312"/>
          <w:b/>
          <w:bCs/>
          <w:kern w:val="0"/>
          <w:sz w:val="32"/>
          <w:szCs w:val="32"/>
        </w:rPr>
        <w:t>（二）过程指标（满分22.0分，实得21.0分）</w:t>
      </w:r>
      <w:bookmarkEnd w:id="70"/>
    </w:p>
    <w:p w14:paraId="18C03A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1、资金管理（满分11.0分，实得11.0分）</w:t>
      </w:r>
    </w:p>
    <w:p w14:paraId="16C5B4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4880AF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 xml:space="preserve">评价小组查阅了项目有关的预算资金下达文件：扶风县财政局于2023年1月27日以《扶风县财政局关于批复2023年度部门综合预算的通知》（扶财办预〔2023〕1号）文件向扶风县住房和城乡建设局下达2023年度污水处理运行补助预算资金200万元，于2023年4月14日以《关于下达财政预算支出指标的通知》（扶财办预〔2023〕030号）下达预算资金15万元，于2023年10月7日以《关于下达财政预算支出指标的通知》（扶财办预〔2023〕119号）下达财政资金10万元，于2023年12月3日以《关于下达财政预算支出指标的通知》（扶财办预〔2023〕154号）下达预算资金10万元，以上下达资金共计235万元。下达预算资金235万元，实际到位资金235万元，资金到位率100.00%。 </w:t>
      </w:r>
    </w:p>
    <w:p w14:paraId="03E462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5002CA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（2）预算执行率（满分5.0分，实得5.0分）</w:t>
      </w:r>
    </w:p>
    <w:p w14:paraId="604CE3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项目预算执行情况如下：项目资金已于2023年2月10日全部拨付到位，由扶风县住房和城乡建设局</w:t>
      </w:r>
      <w:r>
        <w:rPr>
          <w:rFonts w:hint="eastAsia" w:ascii="仿宋" w:hAnsi="仿宋" w:eastAsia="仿宋" w:cs="仿宋"/>
          <w:kern w:val="0"/>
          <w:sz w:val="32"/>
          <w:szCs w:val="32"/>
          <w:highlight w:val="none"/>
          <w:lang w:val="en-US" w:eastAsia="zh-CN"/>
        </w:rPr>
        <w:t>分七次</w:t>
      </w:r>
      <w:r>
        <w:rPr>
          <w:rFonts w:ascii="仿宋" w:hAnsi="仿宋" w:eastAsia="仿宋" w:cs="仿宋"/>
          <w:kern w:val="0"/>
          <w:sz w:val="32"/>
          <w:szCs w:val="32"/>
        </w:rPr>
        <w:t>支付给扶风县绛帐污水处理有限责任公司的实际支出资金235万元，已于2023年12月</w:t>
      </w:r>
      <w:r>
        <w:rPr>
          <w:rFonts w:hint="eastAsia" w:ascii="仿宋" w:hAnsi="仿宋" w:eastAsia="仿宋" w:cs="仿宋"/>
          <w:kern w:val="0"/>
          <w:sz w:val="32"/>
          <w:szCs w:val="32"/>
          <w:lang w:val="en-US" w:eastAsia="zh-CN"/>
        </w:rPr>
        <w:t>31</w:t>
      </w:r>
      <w:r>
        <w:rPr>
          <w:rFonts w:ascii="仿宋" w:hAnsi="仿宋" w:eastAsia="仿宋" w:cs="仿宋"/>
          <w:kern w:val="0"/>
          <w:sz w:val="32"/>
          <w:szCs w:val="32"/>
        </w:rPr>
        <w:t>日全部支付完成，预算执行率100.00%。</w:t>
      </w:r>
    </w:p>
    <w:p w14:paraId="16D1B9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74337E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586E0E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项目资金支付时应由扶风县绛帐污水处理有限责任公司提出申请，经扶风县住房和城乡建设局审核及批准。项目达到合同规定的付款条件，凭合同、发票、验收资料等，按照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批流程批准后，资金直接支付给施工单位。经分析，项目资金的支出符合</w:t>
      </w:r>
      <w:r>
        <w:rPr>
          <w:rFonts w:hint="eastAsia" w:ascii="仿宋" w:hAnsi="仿宋" w:eastAsia="仿宋" w:cs="仿宋"/>
          <w:kern w:val="0"/>
          <w:sz w:val="32"/>
          <w:szCs w:val="32"/>
          <w:lang w:val="en-US" w:eastAsia="zh-CN"/>
        </w:rPr>
        <w:t>单位</w:t>
      </w:r>
      <w:r>
        <w:rPr>
          <w:rFonts w:ascii="仿宋" w:hAnsi="仿宋" w:eastAsia="仿宋" w:cs="仿宋"/>
          <w:kern w:val="0"/>
          <w:sz w:val="32"/>
          <w:szCs w:val="32"/>
        </w:rPr>
        <w:t>《财务管理制度》的规定；资金的拨付有完整的审批程序和手续；符合项目合同规定的用途。</w:t>
      </w:r>
    </w:p>
    <w:p w14:paraId="6434C3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3EF6B4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2、组织实施（满分11.0分，实得10.0分）</w:t>
      </w:r>
    </w:p>
    <w:p w14:paraId="15F5EF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427108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项目执行了采购程序，签订了项目合同。经分析，项目采购执行了内部决策程序；项目采购方式</w:t>
      </w:r>
      <w:r>
        <w:rPr>
          <w:rFonts w:hint="eastAsia" w:ascii="仿宋" w:hAnsi="仿宋" w:eastAsia="仿宋" w:cs="仿宋"/>
          <w:kern w:val="0"/>
          <w:sz w:val="32"/>
          <w:szCs w:val="32"/>
          <w:lang w:val="en-US" w:eastAsia="zh-CN"/>
        </w:rPr>
        <w:t>及实施合同执行</w:t>
      </w:r>
      <w:r>
        <w:rPr>
          <w:rFonts w:ascii="仿宋" w:hAnsi="仿宋" w:eastAsia="仿宋" w:cs="仿宋"/>
          <w:kern w:val="0"/>
          <w:sz w:val="32"/>
          <w:szCs w:val="32"/>
        </w:rPr>
        <w:t>符合规定。</w:t>
      </w:r>
    </w:p>
    <w:p w14:paraId="5D83FE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2DA7C0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（2）管理制度健全性（满分2.0分，实得2.0分）</w:t>
      </w:r>
    </w:p>
    <w:p w14:paraId="066CC3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财务管理制度》对项目资金的管理和使用进行了严格的规定，规范资金管理。各类政策性资金和项目资金由相关股室提前编制分配方案，经分管领导审批后，送局领导班子会议研究讨论，确定分配计划；严禁使用项目资金支付各种罚款、捐款、赞助、投资等，严禁以任何方式挪作</w:t>
      </w:r>
      <w:r>
        <w:rPr>
          <w:rFonts w:hint="eastAsia" w:ascii="仿宋" w:hAnsi="仿宋" w:eastAsia="仿宋" w:cs="仿宋"/>
          <w:kern w:val="0"/>
          <w:sz w:val="32"/>
          <w:szCs w:val="32"/>
          <w:lang w:val="en-US" w:eastAsia="zh-CN"/>
        </w:rPr>
        <w:t>他</w:t>
      </w:r>
      <w:r>
        <w:rPr>
          <w:rFonts w:ascii="仿宋" w:hAnsi="仿宋" w:eastAsia="仿宋" w:cs="仿宋"/>
          <w:kern w:val="0"/>
          <w:sz w:val="32"/>
          <w:szCs w:val="32"/>
        </w:rPr>
        <w:t>用；确保项目资金专款专用，分配使用实事求是、合理高效。《</w:t>
      </w:r>
      <w:bookmarkStart w:id="83" w:name="_GoBack"/>
      <w:bookmarkEnd w:id="83"/>
      <w:r>
        <w:rPr>
          <w:rFonts w:ascii="仿宋" w:hAnsi="仿宋" w:eastAsia="仿宋" w:cs="仿宋"/>
          <w:kern w:val="0"/>
          <w:sz w:val="32"/>
          <w:szCs w:val="32"/>
        </w:rPr>
        <w:t>合同管理制度》对合同的订立、履行、变更及纠纷处理</w:t>
      </w:r>
      <w:r>
        <w:rPr>
          <w:rFonts w:hint="eastAsia" w:ascii="仿宋" w:hAnsi="仿宋" w:eastAsia="仿宋" w:cs="仿宋"/>
          <w:kern w:val="0"/>
          <w:sz w:val="32"/>
          <w:szCs w:val="32"/>
          <w:lang w:val="en-US" w:eastAsia="zh-CN"/>
        </w:rPr>
        <w:t>作</w:t>
      </w:r>
      <w:r>
        <w:rPr>
          <w:rFonts w:ascii="仿宋" w:hAnsi="仿宋" w:eastAsia="仿宋" w:cs="仿宋"/>
          <w:kern w:val="0"/>
          <w:sz w:val="32"/>
          <w:szCs w:val="32"/>
        </w:rPr>
        <w:t>出了清晰的说明。在合同订立前应由合同承办股室充分了解合同对方的主体资格，资信情况等有关内容；合同签订后应当遵循</w:t>
      </w:r>
      <w:r>
        <w:rPr>
          <w:rFonts w:hint="eastAsia" w:ascii="仿宋" w:hAnsi="仿宋" w:eastAsia="仿宋" w:cs="仿宋"/>
          <w:kern w:val="0"/>
          <w:sz w:val="32"/>
          <w:szCs w:val="32"/>
          <w:lang w:val="en-US" w:eastAsia="zh-CN"/>
        </w:rPr>
        <w:t>诚实守信</w:t>
      </w:r>
      <w:r>
        <w:rPr>
          <w:rFonts w:ascii="仿宋" w:hAnsi="仿宋" w:eastAsia="仿宋" w:cs="仿宋"/>
          <w:kern w:val="0"/>
          <w:sz w:val="32"/>
          <w:szCs w:val="32"/>
        </w:rPr>
        <w:t>的原则，严格履行合同</w:t>
      </w:r>
      <w:r>
        <w:rPr>
          <w:rFonts w:hint="eastAsia" w:ascii="仿宋" w:hAnsi="仿宋" w:eastAsia="仿宋" w:cs="仿宋"/>
          <w:kern w:val="0"/>
          <w:sz w:val="32"/>
          <w:szCs w:val="32"/>
          <w:lang w:eastAsia="zh-CN"/>
        </w:rPr>
        <w:t>，</w:t>
      </w:r>
      <w:r>
        <w:rPr>
          <w:rFonts w:ascii="仿宋" w:hAnsi="仿宋" w:eastAsia="仿宋" w:cs="仿宋"/>
          <w:kern w:val="0"/>
          <w:sz w:val="32"/>
          <w:szCs w:val="32"/>
        </w:rPr>
        <w:t>合同承办</w:t>
      </w:r>
      <w:r>
        <w:rPr>
          <w:rFonts w:hint="eastAsia" w:ascii="仿宋" w:hAnsi="仿宋" w:eastAsia="仿宋" w:cs="仿宋"/>
          <w:kern w:val="0"/>
          <w:sz w:val="32"/>
          <w:szCs w:val="32"/>
          <w:lang w:val="en-US" w:eastAsia="zh-CN"/>
        </w:rPr>
        <w:t>股室</w:t>
      </w:r>
      <w:r>
        <w:rPr>
          <w:rFonts w:ascii="仿宋" w:hAnsi="仿宋" w:eastAsia="仿宋" w:cs="仿宋"/>
          <w:kern w:val="0"/>
          <w:sz w:val="32"/>
          <w:szCs w:val="32"/>
        </w:rPr>
        <w:t>应对合同履行负责；合同变更或解除应由合同承办股</w:t>
      </w:r>
      <w:r>
        <w:rPr>
          <w:rFonts w:hint="eastAsia" w:ascii="仿宋" w:hAnsi="仿宋" w:eastAsia="仿宋" w:cs="仿宋"/>
          <w:kern w:val="0"/>
          <w:sz w:val="32"/>
          <w:szCs w:val="32"/>
          <w:lang w:val="en-US" w:eastAsia="zh-CN"/>
        </w:rPr>
        <w:t>室</w:t>
      </w:r>
      <w:r>
        <w:rPr>
          <w:rFonts w:ascii="仿宋" w:hAnsi="仿宋" w:eastAsia="仿宋" w:cs="仿宋"/>
          <w:kern w:val="0"/>
          <w:sz w:val="32"/>
          <w:szCs w:val="32"/>
        </w:rPr>
        <w:t>及时与对方单位协调处理；双方发生合同纠纷，应及时报送上级部门与对方单位协调沟通。经分析，项目具有相应的财务和业务管理制度；财务和业务管理制度合法、合规、完整。</w:t>
      </w:r>
    </w:p>
    <w:p w14:paraId="53CA79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65D58D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（3）绩效自评规范性（满分4.0分，实得3.0分）</w:t>
      </w:r>
    </w:p>
    <w:p w14:paraId="4D7A40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绛帐污水处理有限公司已经开展了绩效自评工作；经分析，项目实施单位进行了绩效自评，自评报告数据准确、内容翔实；但自评表中对社会效益和生态效益指标的描述与指标内容不相关。</w:t>
      </w:r>
    </w:p>
    <w:p w14:paraId="5B7021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根据评分标准，本指标满分4.0分，扣1.0分，评价得3.0分。</w:t>
      </w:r>
    </w:p>
    <w:p w14:paraId="62F975D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1" w:name="_Toc29862"/>
      <w:r>
        <w:rPr>
          <w:rFonts w:hint="eastAsia" w:ascii="楷体_GB2312" w:hAnsi="楷体_GB2312" w:eastAsia="楷体_GB2312" w:cs="楷体_GB2312"/>
          <w:b/>
          <w:bCs/>
          <w:kern w:val="0"/>
          <w:sz w:val="32"/>
          <w:szCs w:val="32"/>
        </w:rPr>
        <w:t>（三）产出指标（满分36.0分，实得</w:t>
      </w:r>
      <w:r>
        <w:rPr>
          <w:rFonts w:hint="eastAsia" w:ascii="楷体_GB2312" w:hAnsi="楷体_GB2312" w:eastAsia="楷体_GB2312" w:cs="楷体_GB2312"/>
          <w:b/>
          <w:bCs/>
          <w:kern w:val="0"/>
          <w:sz w:val="32"/>
          <w:szCs w:val="32"/>
          <w:lang w:val="en-US" w:eastAsia="zh-CN"/>
        </w:rPr>
        <w:t>27</w:t>
      </w:r>
      <w:r>
        <w:rPr>
          <w:rFonts w:hint="eastAsia" w:ascii="楷体_GB2312" w:hAnsi="楷体_GB2312" w:eastAsia="楷体_GB2312" w:cs="楷体_GB2312"/>
          <w:b/>
          <w:bCs/>
          <w:kern w:val="0"/>
          <w:sz w:val="32"/>
          <w:szCs w:val="32"/>
        </w:rPr>
        <w:t>.0分）</w:t>
      </w:r>
      <w:bookmarkEnd w:id="71"/>
    </w:p>
    <w:p w14:paraId="4D97E0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2F15AA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实际完成率（满分9.0分，实得9.0分）</w:t>
      </w:r>
    </w:p>
    <w:p w14:paraId="321AFC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为了核实项目的实际完成情况，评价小组检查了绛帐镇工业园区、绛帐老街道及附近工厂村庄生活污水及工业废水的污水处理工作项目，项目计划内容已全部实施。</w:t>
      </w:r>
    </w:p>
    <w:p w14:paraId="23E575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261D3F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6B2F86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质量合格率（满分9.0分，实得9.0分）</w:t>
      </w:r>
    </w:p>
    <w:p w14:paraId="0D5A2D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处理绛帐镇工业园区、绛帐老街道及附近工厂村庄生活污水及工业废水的污水处理工作项目全年处理污水量127.78万吨，污水处理率达96%。平均出水指标完全达到陕西省黄河流域污水综合排放标准(DB61/224-2018,/)，质量合格。</w:t>
      </w:r>
    </w:p>
    <w:p w14:paraId="7772AD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5AC99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46270D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完成及时率（满分9.0分，实得9.0分）</w:t>
      </w:r>
    </w:p>
    <w:p w14:paraId="7F999C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在2023年度内运转正常，能及时处理污水，污水处理后达标排放，</w:t>
      </w:r>
      <w:r>
        <w:rPr>
          <w:rFonts w:ascii="仿宋" w:hAnsi="仿宋" w:eastAsia="仿宋" w:cs="仿宋"/>
          <w:kern w:val="0"/>
          <w:sz w:val="32"/>
          <w:szCs w:val="32"/>
        </w:rPr>
        <w:t>在约定期限内完成，完成及时率100%。</w:t>
      </w:r>
    </w:p>
    <w:p w14:paraId="790C82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7D28B9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w:t>
      </w:r>
      <w:r>
        <w:rPr>
          <w:rFonts w:hint="eastAsia" w:ascii="仿宋" w:hAnsi="仿宋" w:eastAsia="仿宋" w:cs="仿宋"/>
          <w:kern w:val="0"/>
          <w:sz w:val="32"/>
          <w:szCs w:val="32"/>
          <w:lang w:val="en-US" w:eastAsia="zh-CN"/>
        </w:rPr>
        <w:t>0</w:t>
      </w:r>
      <w:r>
        <w:rPr>
          <w:rFonts w:ascii="仿宋" w:hAnsi="仿宋" w:eastAsia="仿宋" w:cs="仿宋"/>
          <w:kern w:val="0"/>
          <w:sz w:val="32"/>
          <w:szCs w:val="32"/>
        </w:rPr>
        <w:t>.0分）</w:t>
      </w:r>
    </w:p>
    <w:p w14:paraId="086F11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成本节约率（满分9.0分，实得</w:t>
      </w:r>
      <w:r>
        <w:rPr>
          <w:rFonts w:hint="eastAsia" w:ascii="仿宋" w:hAnsi="仿宋" w:eastAsia="仿宋" w:cs="仿宋"/>
          <w:kern w:val="0"/>
          <w:sz w:val="32"/>
          <w:szCs w:val="32"/>
          <w:lang w:val="en-US" w:eastAsia="zh-CN"/>
        </w:rPr>
        <w:t>0</w:t>
      </w:r>
      <w:r>
        <w:rPr>
          <w:rFonts w:ascii="仿宋" w:hAnsi="仿宋" w:eastAsia="仿宋" w:cs="仿宋"/>
          <w:kern w:val="0"/>
          <w:sz w:val="32"/>
          <w:szCs w:val="32"/>
        </w:rPr>
        <w:t>.0分）</w:t>
      </w:r>
    </w:p>
    <w:p w14:paraId="0DC158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highlight w:val="none"/>
        </w:rPr>
        <w:t>项目</w:t>
      </w:r>
      <w:r>
        <w:rPr>
          <w:rFonts w:hint="eastAsia" w:ascii="仿宋" w:hAnsi="仿宋" w:eastAsia="仿宋" w:cs="仿宋"/>
          <w:kern w:val="0"/>
          <w:sz w:val="32"/>
          <w:szCs w:val="32"/>
          <w:highlight w:val="none"/>
          <w:lang w:val="en-US" w:eastAsia="zh-CN"/>
        </w:rPr>
        <w:t>支付</w:t>
      </w:r>
      <w:r>
        <w:rPr>
          <w:rFonts w:ascii="仿宋" w:hAnsi="仿宋" w:eastAsia="仿宋" w:cs="仿宋"/>
          <w:kern w:val="0"/>
          <w:sz w:val="32"/>
          <w:szCs w:val="32"/>
          <w:highlight w:val="none"/>
        </w:rPr>
        <w:t>资金为235万元，</w:t>
      </w:r>
      <w:r>
        <w:rPr>
          <w:rFonts w:hint="eastAsia" w:ascii="仿宋" w:hAnsi="仿宋" w:eastAsia="仿宋" w:cs="仿宋"/>
          <w:kern w:val="0"/>
          <w:sz w:val="32"/>
          <w:szCs w:val="32"/>
          <w:highlight w:val="none"/>
          <w:lang w:val="en-US" w:eastAsia="zh-CN"/>
        </w:rPr>
        <w:t>处理污水133.1万吨，每吨处理</w:t>
      </w:r>
      <w:r>
        <w:rPr>
          <w:rFonts w:hint="eastAsia" w:ascii="仿宋" w:hAnsi="仿宋" w:eastAsia="仿宋" w:cs="仿宋"/>
          <w:kern w:val="0"/>
          <w:sz w:val="32"/>
          <w:szCs w:val="32"/>
          <w:lang w:val="en-US" w:eastAsia="zh-CN"/>
        </w:rPr>
        <w:t>成本为1.77元，目标成本为1.3元/吨，</w:t>
      </w:r>
      <w:r>
        <w:rPr>
          <w:rFonts w:ascii="仿宋" w:hAnsi="仿宋" w:eastAsia="仿宋" w:cs="仿宋"/>
          <w:kern w:val="0"/>
          <w:sz w:val="32"/>
          <w:szCs w:val="32"/>
        </w:rPr>
        <w:t>成本</w:t>
      </w:r>
      <w:r>
        <w:rPr>
          <w:rFonts w:hint="eastAsia" w:ascii="仿宋" w:hAnsi="仿宋" w:eastAsia="仿宋" w:cs="仿宋"/>
          <w:kern w:val="0"/>
          <w:sz w:val="32"/>
          <w:szCs w:val="32"/>
          <w:lang w:val="en-US" w:eastAsia="zh-CN"/>
        </w:rPr>
        <w:t>节约</w:t>
      </w:r>
      <w:r>
        <w:rPr>
          <w:rFonts w:ascii="仿宋" w:hAnsi="仿宋" w:eastAsia="仿宋" w:cs="仿宋"/>
          <w:kern w:val="0"/>
          <w:sz w:val="32"/>
          <w:szCs w:val="32"/>
        </w:rPr>
        <w:t>率</w:t>
      </w:r>
      <w:r>
        <w:rPr>
          <w:rFonts w:hint="eastAsia" w:ascii="仿宋" w:hAnsi="仿宋" w:eastAsia="仿宋" w:cs="仿宋"/>
          <w:kern w:val="0"/>
          <w:sz w:val="32"/>
          <w:szCs w:val="32"/>
          <w:lang w:val="en-US" w:eastAsia="zh-CN"/>
        </w:rPr>
        <w:t>-36</w:t>
      </w:r>
      <w:r>
        <w:rPr>
          <w:rFonts w:ascii="仿宋" w:hAnsi="仿宋" w:eastAsia="仿宋" w:cs="仿宋"/>
          <w:kern w:val="0"/>
          <w:sz w:val="32"/>
          <w:szCs w:val="32"/>
        </w:rPr>
        <w:t>%。</w:t>
      </w:r>
    </w:p>
    <w:p w14:paraId="084656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w:t>
      </w:r>
      <w:r>
        <w:rPr>
          <w:rFonts w:hint="eastAsia" w:ascii="仿宋" w:hAnsi="仿宋" w:eastAsia="仿宋" w:cs="仿宋"/>
          <w:kern w:val="0"/>
          <w:sz w:val="32"/>
          <w:szCs w:val="32"/>
          <w:lang w:val="en-US" w:eastAsia="zh-CN"/>
        </w:rPr>
        <w:t>9</w:t>
      </w:r>
      <w:r>
        <w:rPr>
          <w:rFonts w:ascii="仿宋" w:hAnsi="仿宋" w:eastAsia="仿宋" w:cs="仿宋"/>
          <w:kern w:val="0"/>
          <w:sz w:val="32"/>
          <w:szCs w:val="32"/>
        </w:rPr>
        <w:t>.0分，评价得</w:t>
      </w:r>
      <w:r>
        <w:rPr>
          <w:rFonts w:hint="eastAsia" w:ascii="仿宋" w:hAnsi="仿宋" w:eastAsia="仿宋" w:cs="仿宋"/>
          <w:kern w:val="0"/>
          <w:sz w:val="32"/>
          <w:szCs w:val="32"/>
          <w:lang w:val="en-US" w:eastAsia="zh-CN"/>
        </w:rPr>
        <w:t>0</w:t>
      </w:r>
      <w:r>
        <w:rPr>
          <w:rFonts w:ascii="仿宋" w:hAnsi="仿宋" w:eastAsia="仿宋" w:cs="仿宋"/>
          <w:kern w:val="0"/>
          <w:sz w:val="32"/>
          <w:szCs w:val="32"/>
        </w:rPr>
        <w:t>.0分。</w:t>
      </w:r>
    </w:p>
    <w:p w14:paraId="2F6CCC2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2" w:name="_Toc31844"/>
      <w:r>
        <w:rPr>
          <w:rFonts w:hint="eastAsia" w:ascii="楷体_GB2312" w:hAnsi="楷体_GB2312" w:eastAsia="楷体_GB2312" w:cs="楷体_GB2312"/>
          <w:b/>
          <w:bCs/>
          <w:kern w:val="0"/>
          <w:sz w:val="32"/>
          <w:szCs w:val="32"/>
        </w:rPr>
        <w:t>（四）效益指标（满分24.0分，实得24.0分）</w:t>
      </w:r>
      <w:bookmarkEnd w:id="72"/>
    </w:p>
    <w:p w14:paraId="529977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1、社会效益（满分6.0分，实得6.0分）</w:t>
      </w:r>
    </w:p>
    <w:p w14:paraId="315A1B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（1）提升人居环境质量（满分6.0分，实得6.0分）</w:t>
      </w:r>
    </w:p>
    <w:p w14:paraId="631FFF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项目能有效改善生态环境质量，降低疾病传播风险，提高水资源利用率，提升公众健康水平，增强社会环保意识，提升人居环境质量。</w:t>
      </w:r>
    </w:p>
    <w:p w14:paraId="5A1B98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1E7F61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2、生态效益（满分6.0分，实得6.0分）</w:t>
      </w:r>
    </w:p>
    <w:p w14:paraId="7F76FB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（1）减少环境污染，保护生态环境（满分6.0分，实得6.0分）</w:t>
      </w:r>
    </w:p>
    <w:p w14:paraId="1FB69F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项目能有效改善生态环境质量，减少环境污染，保护城区生态环境。</w:t>
      </w:r>
    </w:p>
    <w:p w14:paraId="7E7122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67F996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3、可持续影响（满分6.0分，实得6.0分）</w:t>
      </w:r>
    </w:p>
    <w:p w14:paraId="1FD032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（1）提升城市形象和吸引力（满分6.0分，实得6.0分）</w:t>
      </w:r>
    </w:p>
    <w:p w14:paraId="2CDA3C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项目能改善生态环境，提高水资源利用率，进一步保障扶风县人民群众的生活环境。</w:t>
      </w:r>
    </w:p>
    <w:p w14:paraId="0ABFBB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544786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4、满意度（满分6.0分，实得6.0分）</w:t>
      </w:r>
    </w:p>
    <w:p w14:paraId="567384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（1）社会公众满意度（满分6.0分，实得6.0分）</w:t>
      </w:r>
    </w:p>
    <w:p w14:paraId="29FA2C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评价组机构通过抽样共计发放20份问卷，社会公众对项目的整体评价为非常满意。满意度调查情况详见《调查问卷分析》。</w:t>
      </w:r>
    </w:p>
    <w:p w14:paraId="76CAA3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1032F3D0">
      <w:pPr>
        <w:spacing w:before="104" w:line="600" w:lineRule="exact"/>
        <w:ind w:firstLine="672"/>
        <w:outlineLvl w:val="0"/>
        <w:rPr>
          <w:rFonts w:ascii="黑体" w:hAnsi="黑体" w:eastAsia="黑体" w:cs="黑体"/>
          <w:spacing w:val="-2"/>
          <w:sz w:val="32"/>
          <w:szCs w:val="32"/>
        </w:rPr>
      </w:pPr>
      <w:bookmarkStart w:id="73" w:name="_Toc22603"/>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138C48E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74" w:name="_Toc8094"/>
      <w:r>
        <w:rPr>
          <w:rFonts w:hint="eastAsia" w:ascii="楷体_GB2312" w:hAnsi="楷体_GB2312" w:eastAsia="楷体_GB2312" w:cs="楷体_GB2312"/>
          <w:b/>
          <w:bCs/>
          <w:kern w:val="0"/>
          <w:sz w:val="32"/>
          <w:szCs w:val="32"/>
          <w:lang w:val="en-US" w:eastAsia="zh-CN"/>
        </w:rPr>
        <w:t>（一）项目初步预算的200万元与预算确定的项目投资额或资金量不匹配；效益指标不清晰、无法衡量，与任务书无法对应。</w:t>
      </w:r>
      <w:bookmarkEnd w:id="74"/>
    </w:p>
    <w:p w14:paraId="0FFB92F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5" w:name="_Toc23356"/>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rPr>
        <w:t>自评表指标完成情况填写不够规范</w:t>
      </w:r>
      <w:bookmarkEnd w:id="75"/>
    </w:p>
    <w:p w14:paraId="2F87949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自评表中社会效益指标的完成情况为完成降帐工业园区、降帐镇区、附近村组工业废水及生活污水处理，生态效益指标的描述为处理污水量133万吨，以上两个指标的描述与指标内容不相关。</w:t>
      </w:r>
    </w:p>
    <w:p w14:paraId="489866B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76" w:name="_Toc19347"/>
      <w:r>
        <w:rPr>
          <w:rFonts w:hint="eastAsia" w:ascii="楷体_GB2312" w:hAnsi="楷体_GB2312" w:eastAsia="楷体_GB2312" w:cs="楷体_GB2312"/>
          <w:b/>
          <w:bCs/>
          <w:kern w:val="0"/>
          <w:sz w:val="32"/>
          <w:szCs w:val="32"/>
          <w:lang w:val="en-US" w:eastAsia="zh-CN"/>
        </w:rPr>
        <w:t>（三）项目成本超支</w:t>
      </w:r>
      <w:bookmarkEnd w:id="76"/>
    </w:p>
    <w:p w14:paraId="51FEDE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lang w:val="en-US" w:eastAsia="zh-CN"/>
        </w:rPr>
      </w:pPr>
      <w:r>
        <w:rPr>
          <w:rFonts w:ascii="仿宋" w:hAnsi="仿宋" w:eastAsia="仿宋" w:cs="仿宋"/>
          <w:kern w:val="0"/>
          <w:sz w:val="32"/>
          <w:szCs w:val="32"/>
          <w:highlight w:val="none"/>
        </w:rPr>
        <w:t>项目</w:t>
      </w:r>
      <w:r>
        <w:rPr>
          <w:rFonts w:hint="eastAsia" w:ascii="仿宋" w:hAnsi="仿宋" w:eastAsia="仿宋" w:cs="仿宋"/>
          <w:kern w:val="0"/>
          <w:sz w:val="32"/>
          <w:szCs w:val="32"/>
          <w:highlight w:val="none"/>
          <w:lang w:val="en-US" w:eastAsia="zh-CN"/>
        </w:rPr>
        <w:t>支付</w:t>
      </w:r>
      <w:r>
        <w:rPr>
          <w:rFonts w:ascii="仿宋" w:hAnsi="仿宋" w:eastAsia="仿宋" w:cs="仿宋"/>
          <w:kern w:val="0"/>
          <w:sz w:val="32"/>
          <w:szCs w:val="32"/>
          <w:highlight w:val="none"/>
        </w:rPr>
        <w:t>资金为235万元，</w:t>
      </w:r>
      <w:r>
        <w:rPr>
          <w:rFonts w:hint="eastAsia" w:ascii="仿宋" w:hAnsi="仿宋" w:eastAsia="仿宋" w:cs="仿宋"/>
          <w:kern w:val="0"/>
          <w:sz w:val="32"/>
          <w:szCs w:val="32"/>
          <w:highlight w:val="none"/>
          <w:lang w:val="en-US" w:eastAsia="zh-CN"/>
        </w:rPr>
        <w:t>处理污水133.1万吨，每吨处理</w:t>
      </w:r>
      <w:r>
        <w:rPr>
          <w:rFonts w:hint="eastAsia" w:ascii="仿宋" w:hAnsi="仿宋" w:eastAsia="仿宋" w:cs="仿宋"/>
          <w:kern w:val="0"/>
          <w:sz w:val="32"/>
          <w:szCs w:val="32"/>
          <w:lang w:val="en-US" w:eastAsia="zh-CN"/>
        </w:rPr>
        <w:t>成本为1.77元，目标成本为1.3元/吨，</w:t>
      </w:r>
      <w:r>
        <w:rPr>
          <w:rFonts w:ascii="仿宋" w:hAnsi="仿宋" w:eastAsia="仿宋" w:cs="仿宋"/>
          <w:kern w:val="0"/>
          <w:sz w:val="32"/>
          <w:szCs w:val="32"/>
        </w:rPr>
        <w:t>成本</w:t>
      </w:r>
      <w:r>
        <w:rPr>
          <w:rFonts w:hint="eastAsia" w:ascii="仿宋" w:hAnsi="仿宋" w:eastAsia="仿宋" w:cs="仿宋"/>
          <w:kern w:val="0"/>
          <w:sz w:val="32"/>
          <w:szCs w:val="32"/>
          <w:lang w:val="en-US" w:eastAsia="zh-CN"/>
        </w:rPr>
        <w:t>节约</w:t>
      </w:r>
      <w:r>
        <w:rPr>
          <w:rFonts w:ascii="仿宋" w:hAnsi="仿宋" w:eastAsia="仿宋" w:cs="仿宋"/>
          <w:kern w:val="0"/>
          <w:sz w:val="32"/>
          <w:szCs w:val="32"/>
        </w:rPr>
        <w:t>率</w:t>
      </w:r>
      <w:r>
        <w:rPr>
          <w:rFonts w:hint="eastAsia" w:ascii="仿宋" w:hAnsi="仿宋" w:eastAsia="仿宋" w:cs="仿宋"/>
          <w:kern w:val="0"/>
          <w:sz w:val="32"/>
          <w:szCs w:val="32"/>
          <w:lang w:val="en-US" w:eastAsia="zh-CN"/>
        </w:rPr>
        <w:t>-36</w:t>
      </w:r>
      <w:r>
        <w:rPr>
          <w:rFonts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项目成本超支</w:t>
      </w:r>
      <w:r>
        <w:rPr>
          <w:rFonts w:ascii="仿宋" w:hAnsi="仿宋" w:eastAsia="仿宋" w:cs="仿宋"/>
          <w:kern w:val="0"/>
          <w:sz w:val="32"/>
          <w:szCs w:val="32"/>
        </w:rPr>
        <w:t>。</w:t>
      </w:r>
    </w:p>
    <w:p w14:paraId="00BA2B84">
      <w:pPr>
        <w:spacing w:line="600" w:lineRule="exact"/>
        <w:ind w:firstLine="632" w:firstLineChars="200"/>
        <w:outlineLvl w:val="0"/>
        <w:rPr>
          <w:rFonts w:ascii="黑体" w:hAnsi="黑体" w:eastAsia="黑体" w:cs="黑体"/>
          <w:spacing w:val="-2"/>
          <w:sz w:val="32"/>
          <w:szCs w:val="32"/>
        </w:rPr>
      </w:pPr>
      <w:bookmarkStart w:id="77" w:name="_Toc18732"/>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7"/>
    </w:p>
    <w:p w14:paraId="3E16A9E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78" w:name="_Toc31733"/>
      <w:r>
        <w:rPr>
          <w:rFonts w:hint="eastAsia" w:ascii="楷体_GB2312" w:hAnsi="楷体_GB2312" w:eastAsia="楷体_GB2312" w:cs="楷体_GB2312"/>
          <w:b/>
          <w:bCs/>
          <w:kern w:val="0"/>
          <w:sz w:val="32"/>
          <w:szCs w:val="32"/>
          <w:lang w:val="en-US" w:eastAsia="zh-CN"/>
        </w:rPr>
        <w:t>（一）项目初步预算要匹配项目的投资额或资金量；合理设置效益指标。</w:t>
      </w:r>
      <w:bookmarkEnd w:id="78"/>
    </w:p>
    <w:p w14:paraId="7002790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79" w:name="_Toc23186"/>
      <w:r>
        <w:rPr>
          <w:rFonts w:hint="eastAsia" w:ascii="楷体_GB2312" w:hAnsi="楷体_GB2312" w:eastAsia="楷体_GB2312" w:cs="楷体_GB2312"/>
          <w:b/>
          <w:bCs/>
          <w:kern w:val="0"/>
          <w:sz w:val="32"/>
          <w:szCs w:val="32"/>
          <w:lang w:val="en-US" w:eastAsia="zh-CN"/>
        </w:rPr>
        <w:t>（二）规范填写指标内容</w:t>
      </w:r>
      <w:bookmarkEnd w:id="79"/>
    </w:p>
    <w:p w14:paraId="7DB9C60B">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在填写指标内容时，应理解每一项指标其背后的意义和目的，准确填写。如社会效益指标的完成情况可写为：提升公众健康水平，增强社会环保意识，提升人居环境质量；生态效益指标的完成情况可写为：有效改善生态环境质量，减少环境污染，保护城区生态环境。</w:t>
      </w:r>
    </w:p>
    <w:p w14:paraId="0DE6049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80" w:name="_Toc20901"/>
      <w:bookmarkStart w:id="81" w:name="_Toc11459"/>
      <w:r>
        <w:rPr>
          <w:rFonts w:hint="eastAsia" w:ascii="楷体_GB2312" w:hAnsi="楷体_GB2312" w:eastAsia="楷体_GB2312" w:cs="楷体_GB2312"/>
          <w:b/>
          <w:bCs/>
          <w:kern w:val="0"/>
          <w:sz w:val="32"/>
          <w:szCs w:val="32"/>
          <w:lang w:val="en-US" w:eastAsia="zh-CN"/>
        </w:rPr>
        <w:t>（三）合理规划工作任务，努力控制项目成本</w:t>
      </w:r>
      <w:bookmarkEnd w:id="80"/>
      <w:bookmarkEnd w:id="81"/>
    </w:p>
    <w:p w14:paraId="5920E97B">
      <w:pPr>
        <w:numPr>
          <w:ilvl w:val="0"/>
          <w:numId w:val="0"/>
        </w:numPr>
        <w:spacing w:line="60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合理编制项目资金开支计划，准确制定工作实施方案，加快项目的推进。根据工作任务合理预计经费支出，保证预算经费能够保证实际工作所需，在成本控制方面节约成本。</w:t>
      </w:r>
    </w:p>
    <w:p w14:paraId="5D5FA880">
      <w:pPr>
        <w:spacing w:line="600" w:lineRule="exact"/>
        <w:rPr>
          <w:rFonts w:ascii="仿宋" w:hAnsi="仿宋" w:eastAsia="仿宋" w:cs="仿宋"/>
          <w:kern w:val="0"/>
          <w:sz w:val="32"/>
          <w:szCs w:val="32"/>
        </w:rPr>
      </w:pPr>
    </w:p>
    <w:p w14:paraId="293852B0">
      <w:pPr>
        <w:spacing w:line="600" w:lineRule="exact"/>
        <w:ind w:left="1598" w:leftChars="304" w:hanging="960" w:hangingChars="300"/>
        <w:outlineLvl w:val="0"/>
        <w:rPr>
          <w:rFonts w:ascii="仿宋" w:hAnsi="仿宋" w:eastAsia="仿宋" w:cs="仿宋"/>
          <w:kern w:val="0"/>
          <w:sz w:val="32"/>
          <w:szCs w:val="32"/>
        </w:rPr>
      </w:pPr>
      <w:bookmarkStart w:id="82" w:name="_Toc13127"/>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项目绩效评价指标体系打分表</w:t>
      </w:r>
      <w:bookmarkEnd w:id="82"/>
    </w:p>
    <w:bookmarkEnd w:id="61"/>
    <w:bookmarkEnd w:id="62"/>
    <w:bookmarkEnd w:id="63"/>
    <w:bookmarkEnd w:id="64"/>
    <w:bookmarkEnd w:id="65"/>
    <w:bookmarkEnd w:id="66"/>
    <w:bookmarkEnd w:id="67"/>
    <w:bookmarkEnd w:id="68"/>
    <w:p w14:paraId="373FB896">
      <w:pPr>
        <w:spacing w:line="360" w:lineRule="auto"/>
        <w:rPr>
          <w:rFonts w:ascii="仿宋" w:hAnsi="仿宋" w:eastAsia="仿宋" w:cs="仿宋"/>
          <w:bCs/>
          <w:kern w:val="0"/>
          <w:sz w:val="32"/>
          <w:szCs w:val="32"/>
        </w:rPr>
      </w:pPr>
    </w:p>
    <w:p w14:paraId="27909B19">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扶风县财政局</w:t>
      </w:r>
    </w:p>
    <w:p w14:paraId="53679F84">
      <w:pPr>
        <w:spacing w:line="600" w:lineRule="exact"/>
        <w:ind w:left="197" w:firstLine="361" w:firstLineChars="113"/>
        <w:jc w:val="center"/>
        <w:rPr>
          <w:rFonts w:hint="eastAsia" w:ascii="仿宋" w:hAnsi="仿宋" w:eastAsia="仿宋" w:cs="仿宋"/>
          <w:kern w:val="0"/>
          <w:sz w:val="32"/>
          <w:szCs w:val="32"/>
        </w:rPr>
      </w:pPr>
    </w:p>
    <w:p w14:paraId="307A1F73">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年6月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22F76141">
      <w:pPr>
        <w:spacing w:line="60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5B901EA7">
      <w:pPr>
        <w:spacing w:line="600" w:lineRule="exact"/>
        <w:jc w:val="center"/>
        <w:rPr>
          <w:rFonts w:hint="default" w:ascii="仿宋" w:hAnsi="仿宋" w:eastAsia="仿宋" w:cs="仿宋"/>
          <w:b/>
          <w:bCs/>
          <w:kern w:val="0"/>
          <w:sz w:val="40"/>
          <w:szCs w:val="40"/>
          <w:lang w:val="en-US" w:eastAsia="zh-CN"/>
        </w:rPr>
      </w:pPr>
      <w:r>
        <w:rPr>
          <w:rFonts w:hint="default" w:ascii="仿宋" w:hAnsi="仿宋" w:eastAsia="仿宋" w:cs="仿宋"/>
          <w:b/>
          <w:bCs/>
          <w:kern w:val="0"/>
          <w:sz w:val="40"/>
          <w:szCs w:val="40"/>
          <w:lang w:val="en-US" w:eastAsia="zh-CN"/>
        </w:rPr>
        <w:t>2023年度污水处理运行补助绩效评价指标体系打分表</w:t>
      </w:r>
    </w:p>
    <w:tbl>
      <w:tblPr>
        <w:tblStyle w:val="13"/>
        <w:tblW w:w="13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679"/>
        <w:gridCol w:w="660"/>
        <w:gridCol w:w="720"/>
        <w:gridCol w:w="1065"/>
        <w:gridCol w:w="720"/>
        <w:gridCol w:w="720"/>
        <w:gridCol w:w="4575"/>
        <w:gridCol w:w="1440"/>
        <w:gridCol w:w="960"/>
        <w:gridCol w:w="1440"/>
      </w:tblGrid>
      <w:tr w14:paraId="6A70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0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C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B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9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4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3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5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1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9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05AE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D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E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0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8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6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9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560F">
            <w:pPr>
              <w:jc w:val="center"/>
              <w:rPr>
                <w:rFonts w:hint="eastAsia" w:ascii="宋体" w:hAnsi="宋体" w:eastAsia="宋体" w:cs="宋体"/>
                <w:i w:val="0"/>
                <w:iCs w:val="0"/>
                <w:color w:val="000000"/>
                <w:sz w:val="22"/>
                <w:szCs w:val="22"/>
                <w:u w:val="none"/>
              </w:rPr>
            </w:pPr>
          </w:p>
        </w:tc>
        <w:tc>
          <w:tcPr>
            <w:tcW w:w="4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B24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6BAF">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264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7027">
            <w:pPr>
              <w:jc w:val="center"/>
              <w:rPr>
                <w:rFonts w:hint="eastAsia" w:ascii="宋体" w:hAnsi="宋体" w:eastAsia="宋体" w:cs="宋体"/>
                <w:i w:val="0"/>
                <w:iCs w:val="0"/>
                <w:color w:val="000000"/>
                <w:sz w:val="22"/>
                <w:szCs w:val="22"/>
                <w:u w:val="none"/>
              </w:rPr>
            </w:pPr>
          </w:p>
        </w:tc>
      </w:tr>
      <w:tr w14:paraId="1DA3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07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D2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5B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63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0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C0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5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C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B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5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8D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7E00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584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BB1E">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B8A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A3EB">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0EA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6852">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F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E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5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C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B40D">
            <w:pPr>
              <w:jc w:val="center"/>
              <w:rPr>
                <w:rFonts w:hint="eastAsia" w:ascii="宋体" w:hAnsi="宋体" w:eastAsia="宋体" w:cs="宋体"/>
                <w:i w:val="0"/>
                <w:iCs w:val="0"/>
                <w:color w:val="000000"/>
                <w:sz w:val="22"/>
                <w:szCs w:val="22"/>
                <w:u w:val="none"/>
              </w:rPr>
            </w:pPr>
          </w:p>
        </w:tc>
      </w:tr>
      <w:tr w14:paraId="0B1C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DA9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2808">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882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779FE">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6FE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E0B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3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3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D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7F190">
            <w:pPr>
              <w:jc w:val="center"/>
              <w:rPr>
                <w:rFonts w:hint="eastAsia" w:ascii="宋体" w:hAnsi="宋体" w:eastAsia="宋体" w:cs="宋体"/>
                <w:i w:val="0"/>
                <w:iCs w:val="0"/>
                <w:color w:val="000000"/>
                <w:sz w:val="22"/>
                <w:szCs w:val="22"/>
                <w:u w:val="none"/>
              </w:rPr>
            </w:pPr>
          </w:p>
        </w:tc>
      </w:tr>
      <w:tr w14:paraId="30BD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14DD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049D">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996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FE841">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EA4C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6272">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1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B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C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1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0345">
            <w:pPr>
              <w:jc w:val="center"/>
              <w:rPr>
                <w:rFonts w:hint="eastAsia" w:ascii="宋体" w:hAnsi="宋体" w:eastAsia="宋体" w:cs="宋体"/>
                <w:i w:val="0"/>
                <w:iCs w:val="0"/>
                <w:color w:val="000000"/>
                <w:sz w:val="22"/>
                <w:szCs w:val="22"/>
                <w:u w:val="none"/>
              </w:rPr>
            </w:pPr>
          </w:p>
        </w:tc>
      </w:tr>
      <w:tr w14:paraId="6D69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11E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A45E5">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63F8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993BB">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606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0D005">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6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A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A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5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B538">
            <w:pPr>
              <w:jc w:val="center"/>
              <w:rPr>
                <w:rFonts w:hint="eastAsia" w:ascii="宋体" w:hAnsi="宋体" w:eastAsia="宋体" w:cs="宋体"/>
                <w:i w:val="0"/>
                <w:iCs w:val="0"/>
                <w:color w:val="000000"/>
                <w:sz w:val="22"/>
                <w:szCs w:val="22"/>
                <w:u w:val="none"/>
              </w:rPr>
            </w:pPr>
          </w:p>
        </w:tc>
      </w:tr>
      <w:tr w14:paraId="7D1B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770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B157">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D32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D28E">
            <w:pPr>
              <w:jc w:val="center"/>
              <w:rPr>
                <w:rFonts w:hint="eastAsia" w:ascii="宋体" w:hAnsi="宋体" w:eastAsia="宋体" w:cs="宋体"/>
                <w:i w:val="0"/>
                <w:iCs w:val="0"/>
                <w:color w:val="000000"/>
                <w:sz w:val="22"/>
                <w:szCs w:val="22"/>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FA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2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8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B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A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9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5463">
            <w:pPr>
              <w:jc w:val="center"/>
              <w:rPr>
                <w:rFonts w:hint="eastAsia" w:ascii="宋体" w:hAnsi="宋体" w:eastAsia="宋体" w:cs="宋体"/>
                <w:i w:val="0"/>
                <w:iCs w:val="0"/>
                <w:color w:val="000000"/>
                <w:sz w:val="22"/>
                <w:szCs w:val="22"/>
                <w:u w:val="none"/>
              </w:rPr>
            </w:pPr>
          </w:p>
        </w:tc>
      </w:tr>
      <w:tr w14:paraId="6E2B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87B2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58694">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3E7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1F0FE">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9991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B0A6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B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2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7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7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65BB">
            <w:pPr>
              <w:jc w:val="center"/>
              <w:rPr>
                <w:rFonts w:hint="eastAsia" w:ascii="宋体" w:hAnsi="宋体" w:eastAsia="宋体" w:cs="宋体"/>
                <w:i w:val="0"/>
                <w:iCs w:val="0"/>
                <w:color w:val="000000"/>
                <w:sz w:val="22"/>
                <w:szCs w:val="22"/>
                <w:u w:val="none"/>
              </w:rPr>
            </w:pPr>
          </w:p>
        </w:tc>
      </w:tr>
      <w:tr w14:paraId="3DDE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336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926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BA1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0C76">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22B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85B3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4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0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3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B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1A15D">
            <w:pPr>
              <w:jc w:val="center"/>
              <w:rPr>
                <w:rFonts w:hint="eastAsia" w:ascii="宋体" w:hAnsi="宋体" w:eastAsia="宋体" w:cs="宋体"/>
                <w:i w:val="0"/>
                <w:iCs w:val="0"/>
                <w:color w:val="000000"/>
                <w:sz w:val="22"/>
                <w:szCs w:val="22"/>
                <w:u w:val="none"/>
              </w:rPr>
            </w:pPr>
          </w:p>
        </w:tc>
      </w:tr>
      <w:tr w14:paraId="4BBD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DE5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9A32">
            <w:pPr>
              <w:jc w:val="center"/>
              <w:rPr>
                <w:rFonts w:hint="eastAsia" w:ascii="宋体" w:hAnsi="宋体" w:eastAsia="宋体" w:cs="宋体"/>
                <w:i w:val="0"/>
                <w:iCs w:val="0"/>
                <w:color w:val="000000"/>
                <w:sz w:val="22"/>
                <w:szCs w:val="22"/>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E2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D2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16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60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4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1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D1F1">
            <w:pPr>
              <w:jc w:val="center"/>
              <w:rPr>
                <w:rFonts w:hint="eastAsia" w:ascii="宋体" w:hAnsi="宋体" w:eastAsia="宋体" w:cs="宋体"/>
                <w:i w:val="0"/>
                <w:iCs w:val="0"/>
                <w:color w:val="000000"/>
                <w:sz w:val="22"/>
                <w:szCs w:val="22"/>
                <w:u w:val="none"/>
              </w:rPr>
            </w:pPr>
          </w:p>
        </w:tc>
      </w:tr>
      <w:tr w14:paraId="582A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F717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5FFC">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EE3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79CB">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7A33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DFBB">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0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7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B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A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3DEC">
            <w:pPr>
              <w:jc w:val="center"/>
              <w:rPr>
                <w:rFonts w:hint="eastAsia" w:ascii="宋体" w:hAnsi="宋体" w:eastAsia="宋体" w:cs="宋体"/>
                <w:i w:val="0"/>
                <w:iCs w:val="0"/>
                <w:color w:val="000000"/>
                <w:sz w:val="22"/>
                <w:szCs w:val="22"/>
                <w:u w:val="none"/>
              </w:rPr>
            </w:pPr>
          </w:p>
        </w:tc>
      </w:tr>
      <w:tr w14:paraId="51A9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BCC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DD20F">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63D2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917A">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A8F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33E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6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8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E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1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8605D">
            <w:pPr>
              <w:jc w:val="center"/>
              <w:rPr>
                <w:rFonts w:hint="eastAsia" w:ascii="宋体" w:hAnsi="宋体" w:eastAsia="宋体" w:cs="宋体"/>
                <w:i w:val="0"/>
                <w:iCs w:val="0"/>
                <w:color w:val="000000"/>
                <w:sz w:val="22"/>
                <w:szCs w:val="22"/>
                <w:u w:val="none"/>
              </w:rPr>
            </w:pPr>
          </w:p>
        </w:tc>
      </w:tr>
      <w:tr w14:paraId="48DD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F7A1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A66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AB0B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49F2">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5371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6A65">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D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E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6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ED1C">
            <w:pPr>
              <w:jc w:val="center"/>
              <w:rPr>
                <w:rFonts w:hint="eastAsia" w:ascii="宋体" w:hAnsi="宋体" w:eastAsia="宋体" w:cs="宋体"/>
                <w:i w:val="0"/>
                <w:iCs w:val="0"/>
                <w:color w:val="000000"/>
                <w:sz w:val="22"/>
                <w:szCs w:val="22"/>
                <w:u w:val="none"/>
              </w:rPr>
            </w:pPr>
          </w:p>
        </w:tc>
      </w:tr>
      <w:tr w14:paraId="29B1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28A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43F2">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1B2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B087">
            <w:pPr>
              <w:jc w:val="center"/>
              <w:rPr>
                <w:rFonts w:hint="eastAsia" w:ascii="宋体" w:hAnsi="宋体" w:eastAsia="宋体" w:cs="宋体"/>
                <w:i w:val="0"/>
                <w:iCs w:val="0"/>
                <w:color w:val="000000"/>
                <w:sz w:val="22"/>
                <w:szCs w:val="22"/>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6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F6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2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E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E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1DD8E">
            <w:pPr>
              <w:jc w:val="center"/>
              <w:rPr>
                <w:rFonts w:hint="eastAsia" w:ascii="宋体" w:hAnsi="宋体" w:eastAsia="宋体" w:cs="宋体"/>
                <w:i w:val="0"/>
                <w:iCs w:val="0"/>
                <w:color w:val="000000"/>
                <w:sz w:val="22"/>
                <w:szCs w:val="22"/>
                <w:u w:val="none"/>
              </w:rPr>
            </w:pPr>
          </w:p>
        </w:tc>
      </w:tr>
      <w:tr w14:paraId="3B47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2E0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21AA">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336E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7793">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235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9082B">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F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4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2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9E84">
            <w:pPr>
              <w:jc w:val="center"/>
              <w:rPr>
                <w:rFonts w:hint="eastAsia" w:ascii="宋体" w:hAnsi="宋体" w:eastAsia="宋体" w:cs="宋体"/>
                <w:i w:val="0"/>
                <w:iCs w:val="0"/>
                <w:color w:val="000000"/>
                <w:sz w:val="22"/>
                <w:szCs w:val="22"/>
                <w:u w:val="none"/>
              </w:rPr>
            </w:pPr>
          </w:p>
        </w:tc>
      </w:tr>
      <w:tr w14:paraId="3537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5C1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AA48">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DFBD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E886">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106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A13B">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A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4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5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1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A551">
            <w:pPr>
              <w:jc w:val="center"/>
              <w:rPr>
                <w:rFonts w:hint="eastAsia" w:ascii="宋体" w:hAnsi="宋体" w:eastAsia="宋体" w:cs="宋体"/>
                <w:i w:val="0"/>
                <w:iCs w:val="0"/>
                <w:color w:val="000000"/>
                <w:sz w:val="22"/>
                <w:szCs w:val="22"/>
                <w:u w:val="none"/>
              </w:rPr>
            </w:pPr>
          </w:p>
        </w:tc>
      </w:tr>
      <w:tr w14:paraId="46EE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EF85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9F61">
            <w:pPr>
              <w:jc w:val="center"/>
              <w:rPr>
                <w:rFonts w:hint="eastAsia" w:ascii="宋体" w:hAnsi="宋体" w:eastAsia="宋体" w:cs="宋体"/>
                <w:i w:val="0"/>
                <w:iCs w:val="0"/>
                <w:color w:val="000000"/>
                <w:sz w:val="22"/>
                <w:szCs w:val="22"/>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C0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D0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20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A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7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7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0B40">
            <w:pPr>
              <w:jc w:val="center"/>
              <w:rPr>
                <w:rFonts w:hint="eastAsia" w:ascii="宋体" w:hAnsi="宋体" w:eastAsia="宋体" w:cs="宋体"/>
                <w:i w:val="0"/>
                <w:iCs w:val="0"/>
                <w:color w:val="000000"/>
                <w:sz w:val="22"/>
                <w:szCs w:val="22"/>
                <w:u w:val="none"/>
              </w:rPr>
            </w:pPr>
          </w:p>
        </w:tc>
      </w:tr>
      <w:tr w14:paraId="4955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49A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14D68">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CF7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FC6B">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CC2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0F9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A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5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7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E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10EA">
            <w:pPr>
              <w:jc w:val="center"/>
              <w:rPr>
                <w:rFonts w:hint="eastAsia" w:ascii="宋体" w:hAnsi="宋体" w:eastAsia="宋体" w:cs="宋体"/>
                <w:i w:val="0"/>
                <w:iCs w:val="0"/>
                <w:color w:val="000000"/>
                <w:sz w:val="22"/>
                <w:szCs w:val="22"/>
                <w:u w:val="none"/>
              </w:rPr>
            </w:pPr>
          </w:p>
        </w:tc>
      </w:tr>
      <w:tr w14:paraId="7674A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8A5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6185">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DFD1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9303">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F53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486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1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B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57E9">
            <w:pPr>
              <w:jc w:val="center"/>
              <w:rPr>
                <w:rFonts w:hint="eastAsia" w:ascii="宋体" w:hAnsi="宋体" w:eastAsia="宋体" w:cs="宋体"/>
                <w:i w:val="0"/>
                <w:iCs w:val="0"/>
                <w:color w:val="000000"/>
                <w:sz w:val="22"/>
                <w:szCs w:val="22"/>
                <w:u w:val="none"/>
              </w:rPr>
            </w:pPr>
          </w:p>
        </w:tc>
      </w:tr>
      <w:tr w14:paraId="5713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4C9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1679">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E2D0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F8E0">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22B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3D61">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B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F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A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3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1AB0">
            <w:pPr>
              <w:jc w:val="center"/>
              <w:rPr>
                <w:rFonts w:hint="eastAsia" w:ascii="宋体" w:hAnsi="宋体" w:eastAsia="宋体" w:cs="宋体"/>
                <w:i w:val="0"/>
                <w:iCs w:val="0"/>
                <w:color w:val="000000"/>
                <w:sz w:val="22"/>
                <w:szCs w:val="22"/>
                <w:u w:val="none"/>
              </w:rPr>
            </w:pPr>
          </w:p>
        </w:tc>
      </w:tr>
      <w:tr w14:paraId="5E91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C720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06728">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A1B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745F">
            <w:pPr>
              <w:jc w:val="center"/>
              <w:rPr>
                <w:rFonts w:hint="eastAsia" w:ascii="宋体" w:hAnsi="宋体" w:eastAsia="宋体" w:cs="宋体"/>
                <w:i w:val="0"/>
                <w:iCs w:val="0"/>
                <w:color w:val="000000"/>
                <w:sz w:val="22"/>
                <w:szCs w:val="22"/>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FE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5E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4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D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7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2BE6">
            <w:pPr>
              <w:jc w:val="center"/>
              <w:rPr>
                <w:rFonts w:hint="eastAsia" w:ascii="宋体" w:hAnsi="宋体" w:eastAsia="宋体" w:cs="宋体"/>
                <w:i w:val="0"/>
                <w:iCs w:val="0"/>
                <w:color w:val="000000"/>
                <w:sz w:val="22"/>
                <w:szCs w:val="22"/>
                <w:u w:val="none"/>
              </w:rPr>
            </w:pPr>
          </w:p>
        </w:tc>
      </w:tr>
      <w:tr w14:paraId="7704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6DC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EC400">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91D9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2CB9">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155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0810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C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9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2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D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9987">
            <w:pPr>
              <w:jc w:val="center"/>
              <w:rPr>
                <w:rFonts w:hint="eastAsia" w:ascii="宋体" w:hAnsi="宋体" w:eastAsia="宋体" w:cs="宋体"/>
                <w:i w:val="0"/>
                <w:iCs w:val="0"/>
                <w:color w:val="000000"/>
                <w:sz w:val="22"/>
                <w:szCs w:val="22"/>
                <w:u w:val="none"/>
              </w:rPr>
            </w:pPr>
          </w:p>
        </w:tc>
      </w:tr>
      <w:tr w14:paraId="4874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6D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63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A3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DC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D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4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E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9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2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1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BB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7ADC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492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3E81">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07A9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7B93">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4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D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0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3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1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5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CC5C">
            <w:pPr>
              <w:jc w:val="center"/>
              <w:rPr>
                <w:rFonts w:hint="eastAsia" w:ascii="宋体" w:hAnsi="宋体" w:eastAsia="宋体" w:cs="宋体"/>
                <w:i w:val="0"/>
                <w:iCs w:val="0"/>
                <w:color w:val="000000"/>
                <w:sz w:val="22"/>
                <w:szCs w:val="22"/>
                <w:u w:val="none"/>
              </w:rPr>
            </w:pPr>
          </w:p>
        </w:tc>
      </w:tr>
      <w:tr w14:paraId="13F0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E8B3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B27B">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719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40E8C">
            <w:pPr>
              <w:jc w:val="center"/>
              <w:rPr>
                <w:rFonts w:hint="eastAsia" w:ascii="宋体" w:hAnsi="宋体" w:eastAsia="宋体" w:cs="宋体"/>
                <w:i w:val="0"/>
                <w:iCs w:val="0"/>
                <w:color w:val="000000"/>
                <w:sz w:val="22"/>
                <w:szCs w:val="22"/>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B7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EE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9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3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D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885A2">
            <w:pPr>
              <w:jc w:val="center"/>
              <w:rPr>
                <w:rFonts w:hint="eastAsia" w:ascii="宋体" w:hAnsi="宋体" w:eastAsia="宋体" w:cs="宋体"/>
                <w:i w:val="0"/>
                <w:iCs w:val="0"/>
                <w:color w:val="000000"/>
                <w:sz w:val="22"/>
                <w:szCs w:val="22"/>
                <w:u w:val="none"/>
              </w:rPr>
            </w:pPr>
          </w:p>
        </w:tc>
      </w:tr>
      <w:tr w14:paraId="6001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5C8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74E0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2675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8095">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EB2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123E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3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3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6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0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750E">
            <w:pPr>
              <w:jc w:val="center"/>
              <w:rPr>
                <w:rFonts w:hint="eastAsia" w:ascii="宋体" w:hAnsi="宋体" w:eastAsia="宋体" w:cs="宋体"/>
                <w:i w:val="0"/>
                <w:iCs w:val="0"/>
                <w:color w:val="000000"/>
                <w:sz w:val="22"/>
                <w:szCs w:val="22"/>
                <w:u w:val="none"/>
              </w:rPr>
            </w:pPr>
          </w:p>
        </w:tc>
      </w:tr>
      <w:tr w14:paraId="506A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0AC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D3AC">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FE5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8D7E">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F7AD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FD9B">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1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D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7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D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7562">
            <w:pPr>
              <w:jc w:val="center"/>
              <w:rPr>
                <w:rFonts w:hint="eastAsia" w:ascii="宋体" w:hAnsi="宋体" w:eastAsia="宋体" w:cs="宋体"/>
                <w:i w:val="0"/>
                <w:iCs w:val="0"/>
                <w:color w:val="000000"/>
                <w:sz w:val="22"/>
                <w:szCs w:val="22"/>
                <w:u w:val="none"/>
              </w:rPr>
            </w:pPr>
          </w:p>
        </w:tc>
      </w:tr>
      <w:tr w14:paraId="70E2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B18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9ED7">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278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A38E">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DE18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81DA">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0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C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D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A3A5">
            <w:pPr>
              <w:jc w:val="center"/>
              <w:rPr>
                <w:rFonts w:hint="eastAsia" w:ascii="宋体" w:hAnsi="宋体" w:eastAsia="宋体" w:cs="宋体"/>
                <w:i w:val="0"/>
                <w:iCs w:val="0"/>
                <w:color w:val="000000"/>
                <w:sz w:val="22"/>
                <w:szCs w:val="22"/>
                <w:u w:val="none"/>
              </w:rPr>
            </w:pPr>
          </w:p>
        </w:tc>
      </w:tr>
      <w:tr w14:paraId="31DC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DB96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0543">
            <w:pPr>
              <w:jc w:val="center"/>
              <w:rPr>
                <w:rFonts w:hint="eastAsia" w:ascii="宋体" w:hAnsi="宋体" w:eastAsia="宋体" w:cs="宋体"/>
                <w:i w:val="0"/>
                <w:iCs w:val="0"/>
                <w:color w:val="000000"/>
                <w:sz w:val="22"/>
                <w:szCs w:val="22"/>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B5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50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ED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98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1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F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B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CF1E">
            <w:pPr>
              <w:jc w:val="center"/>
              <w:rPr>
                <w:rFonts w:hint="eastAsia" w:ascii="宋体" w:hAnsi="宋体" w:eastAsia="宋体" w:cs="宋体"/>
                <w:i w:val="0"/>
                <w:iCs w:val="0"/>
                <w:color w:val="000000"/>
                <w:sz w:val="22"/>
                <w:szCs w:val="22"/>
                <w:u w:val="none"/>
              </w:rPr>
            </w:pPr>
          </w:p>
        </w:tc>
      </w:tr>
      <w:tr w14:paraId="2836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C6C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F478">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1FC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8EF71">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15B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8BC9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1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1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C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B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E389">
            <w:pPr>
              <w:jc w:val="center"/>
              <w:rPr>
                <w:rFonts w:hint="eastAsia" w:ascii="宋体" w:hAnsi="宋体" w:eastAsia="宋体" w:cs="宋体"/>
                <w:i w:val="0"/>
                <w:iCs w:val="0"/>
                <w:color w:val="000000"/>
                <w:sz w:val="22"/>
                <w:szCs w:val="22"/>
                <w:u w:val="none"/>
              </w:rPr>
            </w:pPr>
          </w:p>
        </w:tc>
      </w:tr>
      <w:tr w14:paraId="5DAE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E6D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A2A2">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BF9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CDFDD">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038F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32FE">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E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7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C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02C01">
            <w:pPr>
              <w:jc w:val="center"/>
              <w:rPr>
                <w:rFonts w:hint="eastAsia" w:ascii="宋体" w:hAnsi="宋体" w:eastAsia="宋体" w:cs="宋体"/>
                <w:i w:val="0"/>
                <w:iCs w:val="0"/>
                <w:color w:val="000000"/>
                <w:sz w:val="22"/>
                <w:szCs w:val="22"/>
                <w:u w:val="none"/>
              </w:rPr>
            </w:pPr>
          </w:p>
        </w:tc>
      </w:tr>
      <w:tr w14:paraId="3510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9E31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85F8">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6CD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2B34">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194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077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F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E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F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1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B8BA">
            <w:pPr>
              <w:jc w:val="center"/>
              <w:rPr>
                <w:rFonts w:hint="eastAsia" w:ascii="宋体" w:hAnsi="宋体" w:eastAsia="宋体" w:cs="宋体"/>
                <w:i w:val="0"/>
                <w:iCs w:val="0"/>
                <w:color w:val="000000"/>
                <w:sz w:val="22"/>
                <w:szCs w:val="22"/>
                <w:u w:val="none"/>
              </w:rPr>
            </w:pPr>
          </w:p>
        </w:tc>
      </w:tr>
      <w:tr w14:paraId="0268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FBB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BB104">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793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282CB">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FA22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BA61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2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E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3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A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395E7">
            <w:pPr>
              <w:jc w:val="center"/>
              <w:rPr>
                <w:rFonts w:hint="eastAsia" w:ascii="宋体" w:hAnsi="宋体" w:eastAsia="宋体" w:cs="宋体"/>
                <w:i w:val="0"/>
                <w:iCs w:val="0"/>
                <w:color w:val="000000"/>
                <w:sz w:val="22"/>
                <w:szCs w:val="22"/>
                <w:u w:val="none"/>
              </w:rPr>
            </w:pPr>
          </w:p>
        </w:tc>
      </w:tr>
      <w:tr w14:paraId="0627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78D4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E8CE5">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E4C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BD8B">
            <w:pPr>
              <w:jc w:val="center"/>
              <w:rPr>
                <w:rFonts w:hint="eastAsia" w:ascii="宋体" w:hAnsi="宋体" w:eastAsia="宋体" w:cs="宋体"/>
                <w:i w:val="0"/>
                <w:iCs w:val="0"/>
                <w:color w:val="000000"/>
                <w:sz w:val="22"/>
                <w:szCs w:val="22"/>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7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76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9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7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0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E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6B36">
            <w:pPr>
              <w:jc w:val="center"/>
              <w:rPr>
                <w:rFonts w:hint="eastAsia" w:ascii="宋体" w:hAnsi="宋体" w:eastAsia="宋体" w:cs="宋体"/>
                <w:i w:val="0"/>
                <w:iCs w:val="0"/>
                <w:color w:val="000000"/>
                <w:sz w:val="22"/>
                <w:szCs w:val="22"/>
                <w:u w:val="none"/>
              </w:rPr>
            </w:pPr>
          </w:p>
        </w:tc>
      </w:tr>
      <w:tr w14:paraId="7994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46A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C34B">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9A86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D14E">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64B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C91A">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E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B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5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8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FB8B">
            <w:pPr>
              <w:jc w:val="center"/>
              <w:rPr>
                <w:rFonts w:hint="eastAsia" w:ascii="宋体" w:hAnsi="宋体" w:eastAsia="宋体" w:cs="宋体"/>
                <w:i w:val="0"/>
                <w:iCs w:val="0"/>
                <w:color w:val="000000"/>
                <w:sz w:val="22"/>
                <w:szCs w:val="22"/>
                <w:u w:val="none"/>
              </w:rPr>
            </w:pPr>
          </w:p>
        </w:tc>
      </w:tr>
      <w:tr w14:paraId="5B38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E47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5685">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019C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C32A">
            <w:pPr>
              <w:jc w:val="center"/>
              <w:rPr>
                <w:rFonts w:hint="eastAsia" w:ascii="宋体" w:hAnsi="宋体" w:eastAsia="宋体" w:cs="宋体"/>
                <w:i w:val="0"/>
                <w:iCs w:val="0"/>
                <w:color w:val="000000"/>
                <w:sz w:val="22"/>
                <w:szCs w:val="22"/>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86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7E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B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B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C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B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4525">
            <w:pPr>
              <w:jc w:val="center"/>
              <w:rPr>
                <w:rFonts w:hint="eastAsia" w:ascii="宋体" w:hAnsi="宋体" w:eastAsia="宋体" w:cs="宋体"/>
                <w:i w:val="0"/>
                <w:iCs w:val="0"/>
                <w:color w:val="000000"/>
                <w:sz w:val="22"/>
                <w:szCs w:val="22"/>
                <w:u w:val="none"/>
              </w:rPr>
            </w:pPr>
          </w:p>
        </w:tc>
      </w:tr>
      <w:tr w14:paraId="603D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355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EA14">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808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0BDA">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6A1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E6F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F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没有发现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0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9B88">
            <w:pPr>
              <w:jc w:val="center"/>
              <w:rPr>
                <w:rFonts w:hint="eastAsia" w:ascii="宋体" w:hAnsi="宋体" w:eastAsia="宋体" w:cs="宋体"/>
                <w:i w:val="0"/>
                <w:iCs w:val="0"/>
                <w:color w:val="000000"/>
                <w:sz w:val="22"/>
                <w:szCs w:val="22"/>
                <w:u w:val="none"/>
              </w:rPr>
            </w:pPr>
          </w:p>
        </w:tc>
      </w:tr>
      <w:tr w14:paraId="77DA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1D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46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6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3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3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2023年度污水处理运行补助实际完成率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8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D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绛帐镇工业园区、绛帐老街道及附近工厂村庄生活污水及工业废水的污水处理，污水处理：按照{已完成工作进度}/{计划工作进度}*100%得出指标值，按照（指标值-（60%））/（（100%）-（60%））× 赋分值得分。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D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1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60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3EC9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0DC3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8DDC">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0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B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6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2023年度污水处理运行补助质量合格率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2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B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1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绛帐镇工业园区、绛帐老街道及附近工厂村庄生活污水及工业废水的污水处理，污水处理：按照{经费项目质量达标项目数}/1*100%得出指标值，按照（指标值-（60%））/（（100%）-（60%））× 赋分值得分。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576D">
            <w:pPr>
              <w:jc w:val="center"/>
              <w:rPr>
                <w:rFonts w:hint="eastAsia" w:ascii="宋体" w:hAnsi="宋体" w:eastAsia="宋体" w:cs="宋体"/>
                <w:i w:val="0"/>
                <w:iCs w:val="0"/>
                <w:color w:val="000000"/>
                <w:sz w:val="22"/>
                <w:szCs w:val="22"/>
                <w:u w:val="none"/>
              </w:rPr>
            </w:pPr>
          </w:p>
        </w:tc>
      </w:tr>
      <w:tr w14:paraId="72A4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444B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7092A">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A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1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0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2023年度污水处理运行补助完成及时率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F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2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绛帐镇工业园区、绛帐老街道及附近工厂村庄生活污水及工业废水的污水处理，污水处理：按照{已完成工作进度}/{计划工作进度}*100%得出指标值，按照（指标值-（60%））/（（100%）-（60%））× 赋分值得分。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4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F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BA85">
            <w:pPr>
              <w:jc w:val="center"/>
              <w:rPr>
                <w:rFonts w:hint="eastAsia" w:ascii="宋体" w:hAnsi="宋体" w:eastAsia="宋体" w:cs="宋体"/>
                <w:i w:val="0"/>
                <w:iCs w:val="0"/>
                <w:color w:val="000000"/>
                <w:sz w:val="22"/>
                <w:szCs w:val="22"/>
                <w:u w:val="none"/>
              </w:rPr>
            </w:pPr>
          </w:p>
        </w:tc>
      </w:tr>
      <w:tr w14:paraId="587E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87F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C9EE">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B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7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9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2023年度污水处理运行补助成本节约率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D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3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F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绛帐镇工业园区、绛帐老街道及附近工厂村庄生活污水及工业废水的污水处理，：按照({经费项目计划支出}-{经费项目预计支出})/{经费项目计划支出}*100%得出指标值，按照（指标值-（-10%））/（（0%）-（-10%））× 赋分值得分。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6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3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8ACA9">
            <w:pPr>
              <w:jc w:val="center"/>
              <w:rPr>
                <w:rFonts w:hint="eastAsia" w:ascii="宋体" w:hAnsi="宋体" w:eastAsia="宋体" w:cs="宋体"/>
                <w:i w:val="0"/>
                <w:iCs w:val="0"/>
                <w:color w:val="000000"/>
                <w:sz w:val="22"/>
                <w:szCs w:val="22"/>
                <w:u w:val="none"/>
              </w:rPr>
            </w:pPr>
          </w:p>
        </w:tc>
      </w:tr>
      <w:tr w14:paraId="4439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88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0C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5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2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2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提升人居环境质量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3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3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9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提升人居环境质量：按照*&lt;计算公式&gt;*得出指标值，按照*&lt;得分公式&gt;*得分。达成目标得100%分，基本达成目标得75%分，部分实现目标得50%分，实现程度较低得25%分，实现程度低得0%分。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6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2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8A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60CD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0DF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241B">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8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1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减少环境污染，保护生态环境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B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E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6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减少环境污染，保护生态环境：按照*&lt;计算公式&gt;*得出指标值，按照*&lt;得分公式&gt;*得分。达成目标得100%分，基本达成目标得75%分，部分实现目标得50%分，实现程度较低得25%分，实现程度低得0%分。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8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0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8402">
            <w:pPr>
              <w:jc w:val="center"/>
              <w:rPr>
                <w:rFonts w:hint="eastAsia" w:ascii="宋体" w:hAnsi="宋体" w:eastAsia="宋体" w:cs="宋体"/>
                <w:i w:val="0"/>
                <w:iCs w:val="0"/>
                <w:color w:val="000000"/>
                <w:sz w:val="22"/>
                <w:szCs w:val="22"/>
                <w:u w:val="none"/>
              </w:rPr>
            </w:pPr>
          </w:p>
        </w:tc>
      </w:tr>
      <w:tr w14:paraId="46AF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FC5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519A">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A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4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C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提升城市形象和吸引力</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C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提升城市形象和吸引力：按照*&lt;计算公式&gt;*得出指标值，按照*&lt;得分公式&gt;*得分。达成目标得100%分，基本达成目标得75%分，部分实现目标得50%分，实现程度较低得25%分，实现程度低得0%分。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7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5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46FA2">
            <w:pPr>
              <w:jc w:val="center"/>
              <w:rPr>
                <w:rFonts w:hint="eastAsia" w:ascii="宋体" w:hAnsi="宋体" w:eastAsia="宋体" w:cs="宋体"/>
                <w:i w:val="0"/>
                <w:iCs w:val="0"/>
                <w:color w:val="000000"/>
                <w:sz w:val="22"/>
                <w:szCs w:val="22"/>
                <w:u w:val="none"/>
              </w:rPr>
            </w:pPr>
          </w:p>
        </w:tc>
      </w:tr>
      <w:tr w14:paraId="34E0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DB6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3AA5">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F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A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F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2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社会公众满意度：按照*&lt;计算公式&gt;*得出指标值，按照*&lt;得分公式&gt;*得分。满意得100%分，较满意得80%分，基本满意得60%分，较不满意得30%分，不满意得0%分。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A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F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695D">
            <w:pPr>
              <w:jc w:val="center"/>
              <w:rPr>
                <w:rFonts w:hint="eastAsia" w:ascii="宋体" w:hAnsi="宋体" w:eastAsia="宋体" w:cs="宋体"/>
                <w:i w:val="0"/>
                <w:iCs w:val="0"/>
                <w:color w:val="000000"/>
                <w:sz w:val="22"/>
                <w:szCs w:val="22"/>
                <w:u w:val="none"/>
              </w:rPr>
            </w:pPr>
          </w:p>
        </w:tc>
      </w:tr>
      <w:tr w14:paraId="1A1F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E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2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C6DF">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D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6E5D">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D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A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95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5FC5">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C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bl>
    <w:p w14:paraId="011E4C95">
      <w:pPr>
        <w:spacing w:line="600" w:lineRule="exact"/>
        <w:jc w:val="both"/>
        <w:rPr>
          <w:rFonts w:hint="default" w:ascii="仿宋" w:hAnsi="仿宋" w:eastAsia="仿宋" w:cs="仿宋"/>
          <w:b/>
          <w:bCs/>
          <w:kern w:val="0"/>
          <w:sz w:val="40"/>
          <w:szCs w:val="40"/>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EC233A-59A1-400C-A059-B439E4707C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546D443-91AA-437D-974E-99537F0FE0F6}"/>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7AC2234A-FDD7-439B-B58D-03C2B32E7C76}"/>
  </w:font>
  <w:font w:name="楷体_GB2312">
    <w:panose1 w:val="02010609060101010101"/>
    <w:charset w:val="86"/>
    <w:family w:val="auto"/>
    <w:pitch w:val="default"/>
    <w:sig w:usb0="800002BF" w:usb1="38CF7CFA" w:usb2="00000016" w:usb3="00000000" w:csb0="00040001" w:csb1="00000000"/>
    <w:embedRegular r:id="rId4" w:fontKey="{C612F108-2182-44F9-AB0E-0F5CAE97B199}"/>
  </w:font>
  <w:font w:name="方正小标宋_GBK">
    <w:panose1 w:val="02000000000000000000"/>
    <w:charset w:val="86"/>
    <w:family w:val="auto"/>
    <w:pitch w:val="default"/>
    <w:sig w:usb0="A00002BF" w:usb1="38CF7CFA" w:usb2="00082016" w:usb3="00000000" w:csb0="00040001" w:csb1="00000000"/>
    <w:embedRegular r:id="rId5" w:fontKey="{A94BA7BB-D3B5-4BFA-8082-527C4FDFEA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E1C6">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D830">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A31BD">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6A900">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93D96">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893D96">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150476AC"/>
    <w:rsid w:val="22252219"/>
    <w:rsid w:val="22F27D12"/>
    <w:rsid w:val="2AD32AF9"/>
    <w:rsid w:val="2F621985"/>
    <w:rsid w:val="31154741"/>
    <w:rsid w:val="331A08BD"/>
    <w:rsid w:val="34825E35"/>
    <w:rsid w:val="3FBC2ABE"/>
    <w:rsid w:val="4E3247D7"/>
    <w:rsid w:val="4F7B70B8"/>
    <w:rsid w:val="500004C8"/>
    <w:rsid w:val="552A1C66"/>
    <w:rsid w:val="5A88700B"/>
    <w:rsid w:val="64DA27D2"/>
    <w:rsid w:val="6E2A2C4C"/>
    <w:rsid w:val="6E5F4E2C"/>
    <w:rsid w:val="6F955444"/>
    <w:rsid w:val="7208370E"/>
    <w:rsid w:val="72F21B06"/>
    <w:rsid w:val="7591430D"/>
    <w:rsid w:val="7963660C"/>
    <w:rsid w:val="79EC728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4795</Words>
  <Characters>5004</Characters>
  <Lines>38</Lines>
  <Paragraphs>10</Paragraphs>
  <TotalTime>0</TotalTime>
  <ScaleCrop>false</ScaleCrop>
  <LinksUpToDate>false</LinksUpToDate>
  <CharactersWithSpaces>5090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2025-01-08T01:22:45Z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047E61134158460E8100C617D570CB03_13</vt:lpwstr>
  </property>
  <property fmtid="{D5CDD505-2E9C-101B-9397-08002B2CF9AE}" pid="4" name="KSOTemplateDocerSaveRecord">
    <vt:lpwstr>eyJoZGlkIjoiMzI2YWNlZTBjZTBmNjc3YjVjMGQwZGYxZmI2NGE4ZGIifQ==</vt:lpwstr>
  </property>
</Properties>
</file>