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A5C4">
      <w:pPr>
        <w:jc w:val="both"/>
        <w:rPr>
          <w:rFonts w:hint="default" w:ascii="黑体" w:hAnsi="Times New Roman" w:eastAsia="黑体" w:cs="黑体"/>
          <w:b/>
          <w:sz w:val="21"/>
          <w:szCs w:val="21"/>
          <w:lang w:val="en-US" w:eastAsia="zh-CN"/>
        </w:rPr>
      </w:pPr>
    </w:p>
    <w:p w14:paraId="0F6F8C64">
      <w:pPr>
        <w:jc w:val="both"/>
        <w:rPr>
          <w:rFonts w:hint="default" w:ascii="黑体" w:hAnsi="Times New Roman" w:eastAsia="黑体" w:cs="黑体"/>
          <w:b/>
          <w:sz w:val="36"/>
          <w:szCs w:val="36"/>
          <w:lang w:val="en-US" w:eastAsia="zh-CN"/>
        </w:rPr>
      </w:pPr>
    </w:p>
    <w:p w14:paraId="2DA70753">
      <w:pPr>
        <w:pStyle w:val="9"/>
        <w:rPr>
          <w:rFonts w:hint="eastAsia"/>
          <w:sz w:val="18"/>
          <w:szCs w:val="18"/>
          <w:lang w:val="en-US" w:eastAsia="zh-CN"/>
        </w:rPr>
      </w:pPr>
    </w:p>
    <w:p w14:paraId="03097C42">
      <w:pPr>
        <w:pStyle w:val="9"/>
        <w:rPr>
          <w:rFonts w:hint="eastAsia"/>
          <w:sz w:val="18"/>
          <w:szCs w:val="18"/>
          <w:lang w:val="en-US" w:eastAsia="zh-CN"/>
        </w:rPr>
      </w:pPr>
    </w:p>
    <w:p w14:paraId="5F93790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color w:val="auto"/>
          <w:spacing w:val="0"/>
          <w:sz w:val="52"/>
          <w:szCs w:val="52"/>
          <w:highlight w:val="none"/>
          <w:lang w:val="en-US" w:eastAsia="zh-CN"/>
        </w:rPr>
      </w:pPr>
      <w:r>
        <w:rPr>
          <w:rFonts w:hint="eastAsia" w:ascii="黑体" w:hAnsi="黑体" w:eastAsia="黑体" w:cs="黑体"/>
          <w:b w:val="0"/>
          <w:bCs/>
          <w:sz w:val="52"/>
          <w:szCs w:val="52"/>
          <w:lang w:val="en-US" w:eastAsia="zh-CN"/>
        </w:rPr>
        <w:t xml:space="preserve"> </w:t>
      </w:r>
      <w:r>
        <w:rPr>
          <w:rFonts w:hint="eastAsia" w:ascii="黑体" w:hAnsi="黑体" w:eastAsia="黑体" w:cs="黑体"/>
          <w:b/>
          <w:bCs w:val="0"/>
          <w:sz w:val="52"/>
          <w:szCs w:val="52"/>
          <w:lang w:eastAsia="zh-CN"/>
        </w:rPr>
        <w:t>2024年</w:t>
      </w:r>
      <w:r>
        <w:rPr>
          <w:rFonts w:hint="eastAsia" w:ascii="黑体" w:hAnsi="黑体" w:eastAsia="黑体" w:cs="黑体"/>
          <w:b/>
          <w:color w:val="auto"/>
          <w:spacing w:val="0"/>
          <w:sz w:val="52"/>
          <w:szCs w:val="52"/>
          <w:highlight w:val="none"/>
          <w:lang w:val="en-US" w:eastAsia="zh-CN"/>
        </w:rPr>
        <w:t>扶风县绛帐镇镇区管理及</w:t>
      </w:r>
    </w:p>
    <w:p w14:paraId="55E3EDA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黑体" w:hAnsi="黑体" w:eastAsia="黑体" w:cs="黑体"/>
          <w:b/>
          <w:color w:val="auto"/>
          <w:spacing w:val="-11"/>
          <w:sz w:val="52"/>
          <w:szCs w:val="52"/>
          <w:highlight w:val="none"/>
          <w:lang w:val="en-US" w:eastAsia="zh-CN"/>
        </w:rPr>
      </w:pPr>
      <w:r>
        <w:rPr>
          <w:rFonts w:hint="eastAsia" w:ascii="黑体" w:hAnsi="黑体" w:eastAsia="黑体" w:cs="黑体"/>
          <w:b/>
          <w:color w:val="auto"/>
          <w:spacing w:val="-11"/>
          <w:sz w:val="52"/>
          <w:szCs w:val="52"/>
          <w:highlight w:val="none"/>
          <w:lang w:val="en-US" w:eastAsia="zh-CN"/>
        </w:rPr>
        <w:t>环卫补助资金项目绩效评价报告</w:t>
      </w:r>
    </w:p>
    <w:p w14:paraId="2DCF8693">
      <w:pPr>
        <w:pStyle w:val="8"/>
        <w:rPr>
          <w:rFonts w:hint="eastAsia"/>
        </w:rPr>
      </w:pPr>
    </w:p>
    <w:p w14:paraId="5AE426FC">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p>
    <w:p w14:paraId="0B6B6ECF">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p>
    <w:p w14:paraId="49EECDE8">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lang w:val="en-US" w:eastAsia="zh-CN"/>
        </w:rPr>
      </w:pPr>
      <w:r>
        <w:rPr>
          <w:rFonts w:hint="eastAsia" w:ascii="华文宋体" w:hAnsi="华文宋体"/>
          <w:color w:val="auto"/>
          <w:sz w:val="31"/>
          <w:highlight w:val="none"/>
          <w:shd w:val="clear" w:color="auto" w:fill="FFFFFF"/>
          <w:lang w:val="en-US" w:eastAsia="zh-CN"/>
        </w:rPr>
        <w:t xml:space="preserve"> </w:t>
      </w:r>
    </w:p>
    <w:p w14:paraId="29D4A5A4">
      <w:pPr>
        <w:pStyle w:val="8"/>
        <w:rPr>
          <w:rFonts w:hint="default"/>
          <w:color w:val="auto"/>
          <w:highlight w:val="none"/>
          <w:lang w:val="en-US" w:eastAsia="zh-CN"/>
        </w:rPr>
      </w:pPr>
    </w:p>
    <w:p w14:paraId="1C298852">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0BC59BC3">
      <w:pPr>
        <w:tabs>
          <w:tab w:val="left" w:pos="6300"/>
          <w:tab w:val="left" w:pos="6480"/>
          <w:tab w:val="left" w:pos="6660"/>
          <w:tab w:val="left" w:pos="7050"/>
          <w:tab w:val="left" w:pos="7200"/>
          <w:tab w:val="left" w:pos="7350"/>
        </w:tabs>
        <w:ind w:right="600" w:firstLine="620" w:firstLineChars="200"/>
        <w:jc w:val="center"/>
        <w:outlineLvl w:val="0"/>
        <w:rPr>
          <w:rFonts w:hint="eastAsia" w:ascii="华文宋体" w:hAnsi="华文宋体"/>
          <w:color w:val="auto"/>
          <w:sz w:val="31"/>
          <w:highlight w:val="none"/>
          <w:shd w:val="clear" w:color="auto" w:fill="FFFFFF"/>
        </w:rPr>
      </w:pPr>
    </w:p>
    <w:p w14:paraId="1EA4B8D7">
      <w:pPr>
        <w:spacing w:line="360" w:lineRule="auto"/>
        <w:ind w:firstLine="1285" w:firstLineChars="400"/>
        <w:rPr>
          <w:rFonts w:hint="eastAsia" w:ascii="宋体" w:hAnsi="宋体" w:cs="宋体"/>
          <w:b/>
          <w:bCs/>
          <w:color w:val="auto"/>
          <w:sz w:val="32"/>
          <w:szCs w:val="32"/>
          <w:highlight w:val="none"/>
        </w:rPr>
      </w:pPr>
    </w:p>
    <w:p w14:paraId="16FC67CE">
      <w:pPr>
        <w:pStyle w:val="8"/>
        <w:rPr>
          <w:rFonts w:hint="eastAsia" w:ascii="宋体" w:hAnsi="宋体" w:cs="宋体"/>
          <w:b/>
          <w:bCs/>
          <w:color w:val="auto"/>
          <w:sz w:val="32"/>
          <w:szCs w:val="32"/>
          <w:highlight w:val="none"/>
        </w:rPr>
      </w:pPr>
    </w:p>
    <w:p w14:paraId="17CD2803">
      <w:pPr>
        <w:pStyle w:val="9"/>
        <w:rPr>
          <w:rFonts w:hint="eastAsia" w:ascii="宋体" w:hAnsi="宋体" w:cs="宋体"/>
          <w:b/>
          <w:bCs/>
          <w:color w:val="auto"/>
          <w:sz w:val="32"/>
          <w:szCs w:val="32"/>
          <w:highlight w:val="none"/>
        </w:rPr>
      </w:pPr>
    </w:p>
    <w:p w14:paraId="7710F0A6">
      <w:pPr>
        <w:pStyle w:val="9"/>
        <w:rPr>
          <w:rFonts w:hint="eastAsia" w:ascii="宋体" w:hAnsi="宋体" w:cs="宋体"/>
          <w:b/>
          <w:bCs/>
          <w:color w:val="auto"/>
          <w:sz w:val="32"/>
          <w:szCs w:val="32"/>
          <w:highlight w:val="none"/>
        </w:rPr>
      </w:pPr>
    </w:p>
    <w:p w14:paraId="6A7501D5">
      <w:pPr>
        <w:pStyle w:val="9"/>
        <w:rPr>
          <w:rFonts w:hint="eastAsia" w:ascii="宋体" w:hAnsi="宋体" w:cs="宋体"/>
          <w:b/>
          <w:bCs/>
          <w:color w:val="auto"/>
          <w:sz w:val="32"/>
          <w:szCs w:val="32"/>
          <w:highlight w:val="none"/>
        </w:rPr>
      </w:pPr>
    </w:p>
    <w:p w14:paraId="0910E66E">
      <w:pPr>
        <w:spacing w:line="360" w:lineRule="auto"/>
        <w:ind w:firstLine="1285" w:firstLineChars="400"/>
        <w:rPr>
          <w:rFonts w:hint="eastAsia" w:ascii="宋体" w:hAnsi="宋体" w:cs="宋体"/>
          <w:b/>
          <w:bCs/>
          <w:color w:val="auto"/>
          <w:sz w:val="32"/>
          <w:szCs w:val="32"/>
          <w:highlight w:val="none"/>
        </w:rPr>
      </w:pPr>
    </w:p>
    <w:p w14:paraId="391F08BF">
      <w:pPr>
        <w:spacing w:line="360" w:lineRule="auto"/>
        <w:jc w:val="center"/>
        <w:rPr>
          <w:rFonts w:hint="eastAsia" w:ascii="宋体" w:hAnsi="宋体" w:eastAsia="宋体" w:cs="宋体"/>
          <w:b/>
          <w:bCs/>
          <w:sz w:val="32"/>
          <w:szCs w:val="32"/>
          <w:highlight w:val="none"/>
          <w:lang w:val="en-US" w:eastAsia="zh-CN"/>
        </w:rPr>
      </w:pPr>
    </w:p>
    <w:p w14:paraId="0EB9C42E">
      <w:pPr>
        <w:spacing w:line="360" w:lineRule="auto"/>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扶风县财政局</w:t>
      </w:r>
    </w:p>
    <w:p w14:paraId="7F101AB4">
      <w:pPr>
        <w:spacing w:line="360" w:lineRule="auto"/>
        <w:jc w:val="center"/>
        <w:rPr>
          <w:rFonts w:hint="default" w:ascii="宋体" w:hAnsi="宋体" w:eastAsia="宋体" w:cs="宋体"/>
          <w:b/>
          <w:color w:val="auto"/>
          <w:sz w:val="32"/>
          <w:szCs w:val="32"/>
          <w:highlight w:val="none"/>
          <w:lang w:val="en-US"/>
        </w:rPr>
        <w:sectPr>
          <w:headerReference r:id="rId4" w:type="first"/>
          <w:headerReference r:id="rId3" w:type="default"/>
          <w:pgSz w:w="11906" w:h="16838"/>
          <w:pgMar w:top="1417" w:right="1531" w:bottom="1417" w:left="1701"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b/>
          <w:bCs/>
          <w:sz w:val="32"/>
          <w:szCs w:val="32"/>
          <w:highlight w:val="none"/>
          <w:lang w:val="en-US" w:eastAsia="zh-CN"/>
        </w:rPr>
        <w:t>202</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年</w:t>
      </w:r>
      <w:r>
        <w:rPr>
          <w:rFonts w:hint="eastAsia" w:ascii="宋体" w:hAnsi="宋体" w:cs="宋体"/>
          <w:b/>
          <w:bCs/>
          <w:sz w:val="32"/>
          <w:szCs w:val="32"/>
          <w:highlight w:val="none"/>
          <w:lang w:val="en-US" w:eastAsia="zh-CN"/>
        </w:rPr>
        <w:t>8</w:t>
      </w:r>
      <w:r>
        <w:rPr>
          <w:rFonts w:hint="eastAsia" w:ascii="宋体" w:hAnsi="宋体" w:eastAsia="宋体" w:cs="宋体"/>
          <w:b/>
          <w:bCs/>
          <w:sz w:val="32"/>
          <w:szCs w:val="32"/>
          <w:highlight w:val="none"/>
          <w:lang w:val="en-US" w:eastAsia="zh-CN"/>
        </w:rPr>
        <w:t>月</w:t>
      </w:r>
      <w:r>
        <w:rPr>
          <w:rFonts w:hint="eastAsia" w:ascii="宋体" w:hAnsi="宋体" w:cs="宋体"/>
          <w:b/>
          <w:bCs/>
          <w:sz w:val="32"/>
          <w:szCs w:val="32"/>
          <w:highlight w:val="none"/>
          <w:lang w:val="en-US" w:eastAsia="zh-CN"/>
        </w:rPr>
        <w:t>15</w:t>
      </w:r>
      <w:r>
        <w:rPr>
          <w:rFonts w:hint="eastAsia" w:ascii="宋体" w:hAnsi="宋体" w:eastAsia="宋体" w:cs="宋体"/>
          <w:b/>
          <w:bCs/>
          <w:sz w:val="32"/>
          <w:szCs w:val="32"/>
          <w:highlight w:val="none"/>
          <w:lang w:val="en-US" w:eastAsia="zh-CN"/>
        </w:rPr>
        <w:t>日</w:t>
      </w:r>
    </w:p>
    <w:p w14:paraId="1737B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 xml:space="preserve"> 2024年扶风县绛帐镇镇区管理及环卫补助资金项目绩效评价报告</w:t>
      </w:r>
    </w:p>
    <w:p w14:paraId="2608E42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sz w:val="32"/>
          <w:szCs w:val="32"/>
          <w:highlight w:val="none"/>
          <w:lang w:val="en-US" w:eastAsia="zh-CN"/>
        </w:rPr>
      </w:pPr>
    </w:p>
    <w:p w14:paraId="08A63E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扶风县绛帐镇人民政府</w:t>
      </w:r>
      <w:r>
        <w:rPr>
          <w:rFonts w:hint="eastAsia" w:ascii="仿宋_GB2312" w:hAnsi="仿宋_GB2312" w:eastAsia="仿宋_GB2312" w:cs="仿宋_GB2312"/>
          <w:color w:val="auto"/>
          <w:sz w:val="32"/>
          <w:szCs w:val="32"/>
          <w:highlight w:val="none"/>
        </w:rPr>
        <w:t>：</w:t>
      </w:r>
    </w:p>
    <w:p w14:paraId="74B8D5CA">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eastAsia" w:ascii="宋体"/>
          <w:b/>
          <w:color w:val="0000FF"/>
          <w:sz w:val="44"/>
          <w:szCs w:val="44"/>
          <w:highlight w:val="none"/>
        </w:rPr>
      </w:pPr>
      <w:r>
        <w:rPr>
          <w:rFonts w:hint="eastAsia" w:ascii="仿宋_GB2312" w:hAnsi="仿宋_GB2312" w:eastAsia="仿宋_GB2312" w:cs="仿宋_GB2312"/>
          <w:bCs/>
          <w:color w:val="auto"/>
          <w:sz w:val="32"/>
          <w:szCs w:val="32"/>
          <w:highlight w:val="none"/>
          <w:lang w:val="en-US" w:eastAsia="zh-CN"/>
        </w:rPr>
        <w:t>为深入贯彻落实党中央和省、市全面实施预算绩效管理的部署要求，加强财政支出管理，提高财政资金使用效益，根据财政部《关于印发〈项目支出绩效评价管理办法〉的通知》（财预〔2020〕10号）</w:t>
      </w:r>
      <w:r>
        <w:rPr>
          <w:rFonts w:hint="eastAsia" w:ascii="仿宋_GB2312" w:hAnsi="仿宋_GB2312" w:eastAsia="仿宋_GB2312" w:cs="仿宋_GB2312"/>
          <w:color w:val="auto"/>
          <w:kern w:val="2"/>
          <w:sz w:val="32"/>
          <w:szCs w:val="32"/>
          <w:highlight w:val="none"/>
          <w:lang w:val="en-US" w:eastAsia="zh-CN" w:bidi="ar-SA"/>
        </w:rPr>
        <w:t>、宝鸡市财政局《宝鸡市加快实现预算绩效管理改革目标行动方案》（宝市财办检〔2021〕16号）、</w:t>
      </w:r>
      <w:r>
        <w:rPr>
          <w:rFonts w:hint="eastAsia" w:ascii="仿宋_GB2312" w:hAnsi="仿宋_GB2312" w:eastAsia="仿宋_GB2312" w:cs="仿宋_GB2312"/>
          <w:bCs/>
          <w:color w:val="auto"/>
          <w:sz w:val="32"/>
          <w:szCs w:val="32"/>
          <w:highlight w:val="none"/>
          <w:lang w:val="en-US" w:eastAsia="zh-CN"/>
        </w:rPr>
        <w:t>《扶风县财政局关于开展2024年度事后财政重点项目及部门整体支出绩效评价工作的通知》（扶财办绩〔2025〕5号）</w:t>
      </w:r>
      <w:r>
        <w:rPr>
          <w:rFonts w:hint="eastAsia" w:ascii="仿宋_GB2312" w:hAnsi="仿宋_GB2312" w:eastAsia="仿宋_GB2312" w:cs="仿宋_GB2312"/>
          <w:color w:val="auto"/>
          <w:kern w:val="2"/>
          <w:sz w:val="32"/>
          <w:szCs w:val="32"/>
          <w:highlight w:val="none"/>
          <w:lang w:val="en-US" w:eastAsia="zh-CN" w:bidi="ar-SA"/>
        </w:rPr>
        <w:t>等相关文件要求，我局立即组成绩效评价工作小组深入项目单位及实施现场，通过座谈交流、查阅资料、现场查看、问卷调查、查询账务系统、对比分析、综合研判等方式，在项目单位自评的基础上，遵循</w:t>
      </w:r>
      <w:r>
        <w:rPr>
          <w:rFonts w:hint="default" w:ascii="仿宋_GB2312" w:hAnsi="仿宋_GB2312" w:eastAsia="仿宋_GB2312" w:cs="仿宋_GB2312"/>
          <w:color w:val="auto"/>
          <w:kern w:val="2"/>
          <w:sz w:val="32"/>
          <w:szCs w:val="32"/>
          <w:highlight w:val="none"/>
          <w:lang w:val="en-US" w:eastAsia="zh-CN" w:bidi="ar-SA"/>
        </w:rPr>
        <w:t>科学、规范、客观、公正的原则</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对2024年扶风县绛帐镇镇区管理及环卫补助资金项目</w:t>
      </w:r>
      <w:r>
        <w:rPr>
          <w:rFonts w:hint="eastAsia" w:ascii="仿宋_GB2312" w:hAnsi="仿宋_GB2312" w:eastAsia="仿宋_GB2312" w:cs="仿宋_GB2312"/>
          <w:b w:val="0"/>
          <w:bCs w:val="0"/>
          <w:color w:val="auto"/>
          <w:sz w:val="32"/>
          <w:szCs w:val="32"/>
          <w:highlight w:val="none"/>
        </w:rPr>
        <w:t>开展</w:t>
      </w:r>
      <w:r>
        <w:rPr>
          <w:rFonts w:hint="eastAsia" w:ascii="仿宋_GB2312" w:hAnsi="仿宋_GB2312" w:eastAsia="仿宋_GB2312" w:cs="仿宋_GB2312"/>
          <w:color w:val="auto"/>
          <w:sz w:val="32"/>
          <w:szCs w:val="32"/>
          <w:highlight w:val="none"/>
        </w:rPr>
        <w:t>了绩效评价。现将评价情况报告如下：</w:t>
      </w:r>
    </w:p>
    <w:p w14:paraId="73F150E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黑体" w:hAnsi="黑体" w:eastAsia="黑体" w:cs="黑体"/>
          <w:b w:val="0"/>
          <w:bCs w:val="0"/>
          <w:color w:val="auto"/>
          <w:sz w:val="32"/>
          <w:szCs w:val="32"/>
          <w:highlight w:val="none"/>
          <w:lang w:val="en-US" w:eastAsia="zh-CN"/>
        </w:rPr>
      </w:pPr>
      <w:bookmarkStart w:id="0" w:name="_Toc206309462"/>
      <w:r>
        <w:rPr>
          <w:rFonts w:hint="eastAsia" w:ascii="黑体" w:hAnsi="黑体" w:eastAsia="黑体" w:cs="黑体"/>
          <w:b w:val="0"/>
          <w:bCs w:val="0"/>
          <w:color w:val="auto"/>
          <w:sz w:val="32"/>
          <w:szCs w:val="32"/>
          <w:highlight w:val="none"/>
          <w:lang w:val="en-US" w:eastAsia="zh-CN"/>
        </w:rPr>
        <w:t>一、项目概况</w:t>
      </w:r>
    </w:p>
    <w:p w14:paraId="2B9D22B5">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sz w:val="32"/>
          <w:szCs w:val="32"/>
          <w:highlight w:val="none"/>
          <w:lang w:val="en-US" w:eastAsia="zh-CN"/>
        </w:rPr>
        <w:t>（一）项目背景</w:t>
      </w:r>
    </w:p>
    <w:p w14:paraId="0E1F1D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6" w:firstLineChars="200"/>
        <w:jc w:val="both"/>
        <w:textAlignment w:val="auto"/>
        <w:rPr>
          <w:rFonts w:ascii="仿宋_GB2312" w:hAnsi="仿宋_GB2312" w:eastAsia="仿宋_GB2312" w:cs="仿宋_GB2312"/>
          <w:bCs/>
          <w:color w:val="auto"/>
          <w:kern w:val="2"/>
          <w:sz w:val="32"/>
          <w:szCs w:val="32"/>
          <w:highlight w:val="none"/>
          <w:lang w:bidi="ar-SA"/>
        </w:rPr>
      </w:pPr>
      <w:r>
        <w:rPr>
          <w:rFonts w:ascii="仿宋_GB2312" w:hAnsi="仿宋_GB2312" w:eastAsia="仿宋_GB2312" w:cs="仿宋_GB2312"/>
          <w:bCs/>
          <w:color w:val="auto"/>
          <w:kern w:val="2"/>
          <w:sz w:val="32"/>
          <w:szCs w:val="32"/>
          <w:highlight w:val="none"/>
          <w:lang w:bidi="ar-SA"/>
        </w:rPr>
        <w:t>扶风县绛帐镇地处扶风县城东南方向13公里处，总面积达87平方公里，下辖20个行政村和1个居民社区，拥有耕地面积5.8万亩，总人口约7.8万人。该镇因东汉著名教育家马融曾在此设绛色纱帐讲学而得名。绛帐镇位于关中天水经济圈的核心区域，陇海铁路、徐兰高铁以及西宝高速、法汤高速等两条铁路与两条高速公路穿境而过，交通网络发展迅速，区位优势显著。同时，东临中国杨凌农业高新技术产业示范区，并拥有省级重点工业园区——扶风科技工业园。</w:t>
      </w:r>
    </w:p>
    <w:p w14:paraId="4441FFDF">
      <w:pPr>
        <w:pStyle w:val="14"/>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6" w:firstLineChars="200"/>
        <w:jc w:val="both"/>
        <w:textAlignment w:val="auto"/>
        <w:rPr>
          <w:rFonts w:ascii="仿宋_GB2312" w:hAnsi="仿宋_GB2312" w:eastAsia="仿宋_GB2312" w:cs="仿宋_GB2312"/>
          <w:bCs/>
          <w:color w:val="auto"/>
          <w:kern w:val="2"/>
          <w:sz w:val="32"/>
          <w:szCs w:val="32"/>
          <w:highlight w:val="none"/>
          <w:lang w:bidi="ar-SA"/>
        </w:rPr>
      </w:pPr>
      <w:r>
        <w:rPr>
          <w:rFonts w:ascii="仿宋_GB2312" w:hAnsi="仿宋_GB2312" w:eastAsia="仿宋_GB2312" w:cs="仿宋_GB2312"/>
          <w:bCs/>
          <w:color w:val="auto"/>
          <w:kern w:val="2"/>
          <w:sz w:val="32"/>
          <w:szCs w:val="32"/>
          <w:highlight w:val="none"/>
          <w:lang w:bidi="ar-SA"/>
        </w:rPr>
        <w:t>2023年中央一号文件明确提出“扎实推进宜居宜业和美乡村建设”，要求加强农村基础设施建设和提升公共服务水平。陕西省积极响应，将农村人居环境整治作为乡村振兴的重要抓手，重点推进垃圾、污水、厕所“三大革命”。陕西省2024年发布的《城乡生活垃圾全域治理三年攻坚行动方案》指出，2024-2026年每年将安排1000万元奖补资金，重点支持城乡环卫设施建设和农村生活垃圾治理。与此同时，宝鸡市也出台了相关政策，要求各镇街完善“户分类、村收集、镇转运、县处理”的体系，推动环卫工作标准化。</w:t>
      </w:r>
    </w:p>
    <w:p w14:paraId="6F4FB33F">
      <w:pPr>
        <w:pStyle w:val="14"/>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6" w:firstLineChars="200"/>
        <w:jc w:val="both"/>
        <w:textAlignment w:val="auto"/>
        <w:rPr>
          <w:rFonts w:ascii="仿宋_GB2312" w:hAnsi="仿宋_GB2312" w:eastAsia="仿宋_GB2312" w:cs="仿宋_GB2312"/>
          <w:bCs/>
          <w:color w:val="auto"/>
          <w:kern w:val="2"/>
          <w:sz w:val="32"/>
          <w:szCs w:val="32"/>
          <w:highlight w:val="none"/>
          <w:lang w:bidi="ar-SA"/>
        </w:rPr>
      </w:pPr>
      <w:r>
        <w:rPr>
          <w:rFonts w:ascii="仿宋_GB2312" w:hAnsi="仿宋_GB2312" w:eastAsia="仿宋_GB2312" w:cs="仿宋_GB2312"/>
          <w:bCs/>
          <w:color w:val="auto"/>
          <w:kern w:val="2"/>
          <w:sz w:val="32"/>
          <w:szCs w:val="32"/>
          <w:highlight w:val="none"/>
          <w:lang w:bidi="ar-SA"/>
        </w:rPr>
        <w:t>作为扶风县的工业重镇，绛帐镇在环卫基础设施建设方面已取得阶段性成果。绛帐镇常住人口约5.2万，随着工业园区扩建和物流产业的发展，镇区人口流动加剧，垃圾产生量年均增长8%，现有设施已处于超负荷运行状态。</w:t>
      </w:r>
    </w:p>
    <w:p w14:paraId="757A77D2">
      <w:pPr>
        <w:pStyle w:val="14"/>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0" w:afterAutospacing="0" w:line="560" w:lineRule="exact"/>
        <w:ind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ascii="仿宋_GB2312" w:hAnsi="仿宋_GB2312" w:eastAsia="仿宋_GB2312" w:cs="仿宋_GB2312"/>
          <w:bCs/>
          <w:color w:val="auto"/>
          <w:kern w:val="2"/>
          <w:sz w:val="32"/>
          <w:szCs w:val="32"/>
          <w:highlight w:val="none"/>
          <w:lang w:bidi="ar-SA"/>
        </w:rPr>
        <w:t>2024年3月5日，扶风县财政局依据扶财办预</w:t>
      </w:r>
      <w:r>
        <w:rPr>
          <w:rFonts w:hint="eastAsia" w:ascii="仿宋_GB2312" w:hAnsi="仿宋_GB2312" w:eastAsia="仿宋_GB2312" w:cs="仿宋_GB2312"/>
          <w:bCs/>
          <w:color w:val="auto"/>
          <w:sz w:val="32"/>
          <w:szCs w:val="32"/>
          <w:highlight w:val="none"/>
          <w:lang w:val="en-US" w:eastAsia="zh-CN"/>
        </w:rPr>
        <w:t>〔2024〕</w:t>
      </w:r>
      <w:r>
        <w:rPr>
          <w:rFonts w:ascii="仿宋_GB2312" w:hAnsi="仿宋_GB2312" w:eastAsia="仿宋_GB2312" w:cs="仿宋_GB2312"/>
          <w:bCs/>
          <w:color w:val="auto"/>
          <w:kern w:val="2"/>
          <w:sz w:val="32"/>
          <w:szCs w:val="32"/>
          <w:highlight w:val="none"/>
          <w:lang w:bidi="ar-SA"/>
        </w:rPr>
        <w:t>1号文件，向绛帐镇人民政府下达了镇区管理及环卫补助资金121.00万元。</w:t>
      </w:r>
    </w:p>
    <w:p w14:paraId="586205B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（二）项目基本情况</w:t>
      </w:r>
    </w:p>
    <w:p w14:paraId="353F87D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585" w:leftChars="304" w:right="0" w:hanging="1938" w:hangingChars="6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项目名称：</w:t>
      </w:r>
      <w:r>
        <w:rPr>
          <w:rFonts w:hint="eastAsia" w:ascii="仿宋_GB2312" w:hAnsi="仿宋_GB2312" w:eastAsia="仿宋_GB2312" w:cs="仿宋_GB2312"/>
          <w:color w:val="auto"/>
          <w:kern w:val="2"/>
          <w:sz w:val="32"/>
          <w:szCs w:val="32"/>
          <w:highlight w:val="none"/>
          <w:lang w:val="en-US" w:eastAsia="zh-CN" w:bidi="ar-SA"/>
        </w:rPr>
        <w:t>2024年</w:t>
      </w:r>
      <w:r>
        <w:rPr>
          <w:rFonts w:hint="eastAsia" w:ascii="仿宋_GB2312" w:hAnsi="仿宋_GB2312" w:eastAsia="仿宋_GB2312" w:cs="仿宋_GB2312"/>
          <w:color w:val="auto"/>
          <w:kern w:val="2"/>
          <w:sz w:val="32"/>
          <w:szCs w:val="32"/>
          <w:highlight w:val="none"/>
          <w:lang w:val="zh-CN" w:eastAsia="zh-CN" w:bidi="ar-SA"/>
        </w:rPr>
        <w:t>扶风县绛帐镇镇区管理及环卫补助资金项目</w:t>
      </w:r>
    </w:p>
    <w:p w14:paraId="0708406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2.主管部门：扶风县绛帐镇人民政府</w:t>
      </w:r>
    </w:p>
    <w:p w14:paraId="658798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3.实施</w:t>
      </w:r>
      <w:r>
        <w:rPr>
          <w:rFonts w:hint="eastAsia" w:ascii="仿宋_GB2312" w:hAnsi="仿宋_GB2312" w:eastAsia="仿宋_GB2312" w:cs="仿宋_GB2312"/>
          <w:color w:val="auto"/>
          <w:kern w:val="2"/>
          <w:sz w:val="32"/>
          <w:szCs w:val="32"/>
          <w:highlight w:val="none"/>
          <w:lang w:val="zh-CN" w:eastAsia="zh-CN" w:bidi="ar-SA"/>
        </w:rPr>
        <w:t>单位：</w:t>
      </w:r>
      <w:r>
        <w:rPr>
          <w:rFonts w:hint="eastAsia" w:ascii="仿宋_GB2312" w:hAnsi="仿宋_GB2312" w:eastAsia="仿宋_GB2312" w:cs="仿宋_GB2312"/>
          <w:color w:val="auto"/>
          <w:kern w:val="2"/>
          <w:sz w:val="32"/>
          <w:szCs w:val="32"/>
          <w:highlight w:val="none"/>
          <w:lang w:val="en-US" w:eastAsia="zh-CN" w:bidi="ar-SA"/>
        </w:rPr>
        <w:t>扶风县绛帐镇人民政府</w:t>
      </w:r>
    </w:p>
    <w:p w14:paraId="7B4040C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4.项目实施内容：</w:t>
      </w:r>
      <w:r>
        <w:rPr>
          <w:rFonts w:ascii="仿宋_GB2312" w:hAnsi="仿宋_GB2312" w:eastAsia="仿宋_GB2312" w:cs="仿宋_GB2312"/>
          <w:color w:val="auto"/>
          <w:kern w:val="2"/>
          <w:sz w:val="32"/>
          <w:szCs w:val="32"/>
          <w:lang w:bidi="ar-SA"/>
        </w:rPr>
        <w:t>该专项资金主要用于</w:t>
      </w:r>
      <w:r>
        <w:rPr>
          <w:rFonts w:hint="eastAsia" w:ascii="仿宋_GB2312" w:hAnsi="仿宋_GB2312" w:eastAsia="仿宋_GB2312" w:cs="仿宋_GB2312"/>
          <w:bCs/>
          <w:color w:val="auto"/>
          <w:sz w:val="32"/>
          <w:szCs w:val="32"/>
          <w:highlight w:val="none"/>
          <w:lang w:val="en-US" w:eastAsia="zh-CN"/>
        </w:rPr>
        <w:t>绛帐镇镇区和扶风科技工业</w:t>
      </w:r>
      <w:bookmarkStart w:id="2" w:name="_GoBack"/>
      <w:bookmarkEnd w:id="2"/>
      <w:r>
        <w:rPr>
          <w:rFonts w:hint="eastAsia" w:ascii="仿宋_GB2312" w:hAnsi="仿宋_GB2312" w:eastAsia="仿宋_GB2312" w:cs="仿宋_GB2312"/>
          <w:bCs/>
          <w:color w:val="auto"/>
          <w:sz w:val="32"/>
          <w:szCs w:val="32"/>
          <w:highlight w:val="none"/>
          <w:lang w:val="en-US" w:eastAsia="zh-CN"/>
        </w:rPr>
        <w:t>园区环卫工作经费</w:t>
      </w:r>
      <w:r>
        <w:rPr>
          <w:rFonts w:ascii="仿宋_GB2312" w:hAnsi="仿宋_GB2312" w:eastAsia="仿宋_GB2312" w:cs="仿宋_GB2312"/>
          <w:color w:val="auto"/>
          <w:kern w:val="2"/>
          <w:sz w:val="32"/>
          <w:szCs w:val="32"/>
          <w:lang w:bidi="ar-SA"/>
        </w:rPr>
        <w:t>。</w:t>
      </w:r>
    </w:p>
    <w:p w14:paraId="5ADF2668">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5.项目预算：121.00万元</w:t>
      </w:r>
    </w:p>
    <w:p w14:paraId="4E2FCFC5">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6.资金来源：县级财政资金</w:t>
      </w:r>
    </w:p>
    <w:p w14:paraId="4237864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highlight w:val="none"/>
          <w:lang w:val="en-US" w:eastAsia="zh-CN" w:bidi="ar-SA"/>
        </w:rPr>
        <w:t>7.预期效益及作用：该</w:t>
      </w:r>
      <w:r>
        <w:rPr>
          <w:rFonts w:ascii="仿宋_GB2312" w:hAnsi="仿宋_GB2312" w:eastAsia="仿宋_GB2312" w:cs="仿宋_GB2312"/>
          <w:bCs/>
          <w:color w:val="auto"/>
          <w:kern w:val="2"/>
          <w:sz w:val="32"/>
          <w:szCs w:val="32"/>
          <w:lang w:bidi="ar-SA"/>
        </w:rPr>
        <w:t>项目的实施旨在全面提升科技工业园区及镇区的环境卫生水平。通过打造整洁有序的人居环境，美化镇区风貌，提升整体形象，并优化生态环境，从而提高居民的生活舒适度，增强他们的获得感和幸福感。同时，项目还将致力于创造洁净、优美的营商和生活环境，推动绛帐镇经济与社会事业的可持续发展。</w:t>
      </w:r>
    </w:p>
    <w:p w14:paraId="219E10DA">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color w:val="auto"/>
          <w:kern w:val="2"/>
          <w:sz w:val="32"/>
          <w:szCs w:val="32"/>
          <w:highlight w:val="none"/>
          <w:lang w:val="en-US" w:eastAsia="zh-CN" w:bidi="ar-SA"/>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rPr>
        <w:t>安排情况</w:t>
      </w:r>
    </w:p>
    <w:p w14:paraId="132E8D3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1.项目资金预算情况</w:t>
      </w:r>
    </w:p>
    <w:p w14:paraId="7F0C63B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b/>
          <w:bCs/>
          <w:kern w:val="2"/>
          <w:sz w:val="28"/>
          <w:szCs w:val="28"/>
          <w:highlight w:val="none"/>
          <w:lang w:val="en-US" w:eastAsia="zh-CN" w:bidi="ar-SA"/>
        </w:rPr>
      </w:pPr>
      <w:r>
        <w:rPr>
          <w:rFonts w:ascii="仿宋_GB2312" w:hAnsi="仿宋_GB2312" w:eastAsia="仿宋_GB2312" w:cs="仿宋_GB2312"/>
          <w:color w:val="auto"/>
          <w:kern w:val="2"/>
          <w:sz w:val="32"/>
          <w:szCs w:val="32"/>
          <w:lang w:bidi="ar-SA"/>
        </w:rPr>
        <w:t>202</w:t>
      </w:r>
      <w:r>
        <w:rPr>
          <w:rFonts w:hint="eastAsia" w:ascii="仿宋_GB2312" w:hAnsi="仿宋_GB2312" w:eastAsia="仿宋_GB2312" w:cs="仿宋_GB2312"/>
          <w:color w:val="auto"/>
          <w:kern w:val="2"/>
          <w:sz w:val="32"/>
          <w:szCs w:val="32"/>
          <w:lang w:val="en-US" w:eastAsia="zh-CN" w:bidi="ar-SA"/>
        </w:rPr>
        <w:t>4</w:t>
      </w:r>
      <w:r>
        <w:rPr>
          <w:rFonts w:ascii="仿宋_GB2312" w:hAnsi="仿宋_GB2312" w:eastAsia="仿宋_GB2312" w:cs="仿宋_GB2312"/>
          <w:color w:val="auto"/>
          <w:kern w:val="2"/>
          <w:sz w:val="32"/>
          <w:szCs w:val="32"/>
          <w:lang w:bidi="ar-SA"/>
        </w:rPr>
        <w:t>年</w:t>
      </w:r>
      <w:r>
        <w:rPr>
          <w:rFonts w:hint="eastAsia" w:ascii="仿宋_GB2312" w:hAnsi="仿宋_GB2312" w:eastAsia="仿宋_GB2312" w:cs="仿宋_GB2312"/>
          <w:color w:val="auto"/>
          <w:kern w:val="2"/>
          <w:sz w:val="32"/>
          <w:szCs w:val="32"/>
          <w:lang w:val="en-US" w:eastAsia="zh-CN" w:bidi="ar-SA"/>
        </w:rPr>
        <w:t>3</w:t>
      </w:r>
      <w:r>
        <w:rPr>
          <w:rFonts w:ascii="仿宋_GB2312" w:hAnsi="仿宋_GB2312" w:eastAsia="仿宋_GB2312" w:cs="仿宋_GB2312"/>
          <w:color w:val="auto"/>
          <w:kern w:val="2"/>
          <w:sz w:val="32"/>
          <w:szCs w:val="32"/>
          <w:lang w:bidi="ar-SA"/>
        </w:rPr>
        <w:t>月</w:t>
      </w:r>
      <w:r>
        <w:rPr>
          <w:rFonts w:hint="eastAsia" w:ascii="仿宋_GB2312" w:hAnsi="仿宋_GB2312" w:eastAsia="仿宋_GB2312" w:cs="仿宋_GB2312"/>
          <w:color w:val="auto"/>
          <w:kern w:val="2"/>
          <w:sz w:val="32"/>
          <w:szCs w:val="32"/>
          <w:lang w:val="en-US" w:eastAsia="zh-CN" w:bidi="ar-SA"/>
        </w:rPr>
        <w:t>5</w:t>
      </w:r>
      <w:r>
        <w:rPr>
          <w:rFonts w:ascii="仿宋_GB2312" w:hAnsi="仿宋_GB2312" w:eastAsia="仿宋_GB2312" w:cs="仿宋_GB2312"/>
          <w:color w:val="auto"/>
          <w:kern w:val="2"/>
          <w:sz w:val="32"/>
          <w:szCs w:val="32"/>
          <w:lang w:bidi="ar-SA"/>
        </w:rPr>
        <w:t>日，</w:t>
      </w:r>
      <w:r>
        <w:rPr>
          <w:rFonts w:hint="eastAsia" w:ascii="仿宋_GB2312" w:hAnsi="仿宋_GB2312" w:eastAsia="仿宋_GB2312" w:cs="仿宋_GB2312"/>
          <w:color w:val="auto"/>
          <w:kern w:val="2"/>
          <w:sz w:val="32"/>
          <w:szCs w:val="32"/>
          <w:lang w:val="en-US" w:eastAsia="zh-CN" w:bidi="ar-SA"/>
        </w:rPr>
        <w:t>扶风</w:t>
      </w:r>
      <w:r>
        <w:rPr>
          <w:rFonts w:ascii="仿宋_GB2312" w:hAnsi="仿宋_GB2312" w:eastAsia="仿宋_GB2312" w:cs="仿宋_GB2312"/>
          <w:color w:val="auto"/>
          <w:kern w:val="2"/>
          <w:sz w:val="32"/>
          <w:szCs w:val="32"/>
          <w:lang w:bidi="ar-SA"/>
        </w:rPr>
        <w:t>县</w:t>
      </w:r>
      <w:r>
        <w:rPr>
          <w:rFonts w:hint="eastAsia" w:ascii="仿宋_GB2312" w:hAnsi="仿宋_GB2312" w:eastAsia="仿宋_GB2312" w:cs="仿宋_GB2312"/>
          <w:color w:val="auto"/>
          <w:kern w:val="2"/>
          <w:sz w:val="32"/>
          <w:szCs w:val="32"/>
          <w:lang w:val="en-US" w:eastAsia="zh-CN" w:bidi="ar-SA"/>
        </w:rPr>
        <w:t>财政局</w:t>
      </w:r>
      <w:r>
        <w:rPr>
          <w:rFonts w:ascii="仿宋_GB2312" w:hAnsi="仿宋_GB2312" w:eastAsia="仿宋_GB2312" w:cs="仿宋_GB2312"/>
          <w:color w:val="auto"/>
          <w:kern w:val="2"/>
          <w:sz w:val="32"/>
          <w:szCs w:val="32"/>
          <w:lang w:bidi="ar-SA"/>
        </w:rPr>
        <w:t>依据</w:t>
      </w:r>
      <w:r>
        <w:rPr>
          <w:rFonts w:hint="eastAsia" w:ascii="仿宋_GB2312" w:hAnsi="仿宋_GB2312" w:eastAsia="仿宋_GB2312" w:cs="仿宋_GB2312"/>
          <w:color w:val="auto"/>
          <w:kern w:val="2"/>
          <w:sz w:val="32"/>
          <w:szCs w:val="32"/>
          <w:lang w:val="en-US" w:eastAsia="zh-CN" w:bidi="ar-SA"/>
        </w:rPr>
        <w:t>扶财办预</w:t>
      </w:r>
      <w:r>
        <w:rPr>
          <w:rFonts w:hint="eastAsia" w:ascii="仿宋_GB2312" w:hAnsi="仿宋_GB2312" w:eastAsia="仿宋_GB2312" w:cs="仿宋_GB2312"/>
          <w:bCs/>
          <w:color w:val="auto"/>
          <w:sz w:val="32"/>
          <w:szCs w:val="32"/>
          <w:highlight w:val="none"/>
          <w:lang w:val="en-US" w:eastAsia="zh-CN"/>
        </w:rPr>
        <w:t>〔2024〕</w:t>
      </w:r>
      <w:r>
        <w:rPr>
          <w:rFonts w:hint="eastAsia" w:ascii="仿宋_GB2312" w:hAnsi="仿宋_GB2312" w:eastAsia="仿宋_GB2312" w:cs="仿宋_GB2312"/>
          <w:color w:val="auto"/>
          <w:kern w:val="2"/>
          <w:sz w:val="32"/>
          <w:szCs w:val="32"/>
          <w:lang w:val="en-US" w:eastAsia="zh-CN" w:bidi="ar-SA"/>
        </w:rPr>
        <w:t>1号文件</w:t>
      </w:r>
      <w:r>
        <w:rPr>
          <w:rFonts w:ascii="仿宋_GB2312" w:hAnsi="仿宋_GB2312" w:eastAsia="仿宋_GB2312" w:cs="仿宋_GB2312"/>
          <w:color w:val="auto"/>
          <w:kern w:val="2"/>
          <w:sz w:val="32"/>
          <w:szCs w:val="32"/>
          <w:lang w:bidi="ar-SA"/>
        </w:rPr>
        <w:t>，向项目单位</w:t>
      </w:r>
      <w:r>
        <w:rPr>
          <w:rFonts w:hint="eastAsia" w:ascii="仿宋_GB2312" w:hAnsi="仿宋_GB2312" w:eastAsia="仿宋_GB2312" w:cs="仿宋_GB2312"/>
          <w:color w:val="auto"/>
          <w:kern w:val="2"/>
          <w:sz w:val="32"/>
          <w:szCs w:val="32"/>
          <w:lang w:val="en-US" w:eastAsia="zh-CN" w:bidi="ar-SA"/>
        </w:rPr>
        <w:t>下达</w:t>
      </w:r>
      <w:r>
        <w:rPr>
          <w:rFonts w:ascii="仿宋_GB2312" w:hAnsi="仿宋_GB2312" w:eastAsia="仿宋_GB2312" w:cs="仿宋_GB2312"/>
          <w:color w:val="auto"/>
          <w:kern w:val="2"/>
          <w:sz w:val="32"/>
          <w:szCs w:val="32"/>
          <w:lang w:bidi="ar-SA"/>
        </w:rPr>
        <w:t>专项资金</w:t>
      </w:r>
      <w:r>
        <w:rPr>
          <w:rFonts w:hint="eastAsia" w:ascii="仿宋_GB2312" w:hAnsi="仿宋_GB2312" w:eastAsia="仿宋_GB2312" w:cs="仿宋_GB2312"/>
          <w:color w:val="auto"/>
          <w:kern w:val="2"/>
          <w:sz w:val="32"/>
          <w:szCs w:val="32"/>
          <w:lang w:val="en-US" w:eastAsia="zh-CN" w:bidi="ar-SA"/>
        </w:rPr>
        <w:t>121.00</w:t>
      </w:r>
      <w:r>
        <w:rPr>
          <w:rFonts w:ascii="仿宋_GB2312" w:hAnsi="仿宋_GB2312" w:eastAsia="仿宋_GB2312" w:cs="仿宋_GB2312"/>
          <w:color w:val="auto"/>
          <w:kern w:val="2"/>
          <w:sz w:val="32"/>
          <w:szCs w:val="32"/>
          <w:lang w:bidi="ar-SA"/>
        </w:rPr>
        <w:t>万元。详见表1。</w:t>
      </w:r>
    </w:p>
    <w:p w14:paraId="56F22721">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表1    项目资金计划情况表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单位：万元</w:t>
      </w:r>
    </w:p>
    <w:tbl>
      <w:tblPr>
        <w:tblStyle w:val="16"/>
        <w:tblpPr w:leftFromText="181" w:rightFromText="181" w:vertAnchor="text" w:horzAnchor="page" w:tblpX="1668" w:tblpY="114"/>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34"/>
        <w:gridCol w:w="1751"/>
        <w:gridCol w:w="2858"/>
        <w:gridCol w:w="1951"/>
      </w:tblGrid>
      <w:tr w14:paraId="4E9E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4" w:type="dxa"/>
            <w:tcBorders>
              <w:left w:val="nil"/>
              <w:bottom w:val="single" w:color="auto" w:sz="4" w:space="0"/>
              <w:right w:val="single" w:color="auto" w:sz="4" w:space="0"/>
            </w:tcBorders>
            <w:shd w:val="clear" w:color="auto" w:fill="D7D7D7"/>
            <w:noWrap w:val="0"/>
            <w:vAlign w:val="center"/>
          </w:tcPr>
          <w:p w14:paraId="291C7EC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334" w:type="dxa"/>
            <w:tcBorders>
              <w:left w:val="single" w:color="auto" w:sz="4" w:space="0"/>
              <w:bottom w:val="single" w:color="auto" w:sz="4" w:space="0"/>
              <w:right w:val="single" w:color="000000" w:sz="4" w:space="0"/>
            </w:tcBorders>
            <w:shd w:val="clear" w:color="auto" w:fill="D7D7D7"/>
            <w:noWrap w:val="0"/>
            <w:vAlign w:val="center"/>
          </w:tcPr>
          <w:p w14:paraId="5221A21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1751" w:type="dxa"/>
            <w:tcBorders>
              <w:left w:val="single" w:color="000000" w:sz="4" w:space="0"/>
              <w:bottom w:val="single" w:color="auto" w:sz="4" w:space="0"/>
              <w:right w:val="single" w:color="auto" w:sz="4" w:space="0"/>
            </w:tcBorders>
            <w:shd w:val="clear" w:color="auto" w:fill="D7D7D7"/>
            <w:noWrap w:val="0"/>
            <w:vAlign w:val="center"/>
          </w:tcPr>
          <w:p w14:paraId="3C250C1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财政预算金额</w:t>
            </w:r>
          </w:p>
        </w:tc>
        <w:tc>
          <w:tcPr>
            <w:tcW w:w="2858" w:type="dxa"/>
            <w:tcBorders>
              <w:left w:val="single" w:color="auto" w:sz="4" w:space="0"/>
              <w:bottom w:val="single" w:color="auto" w:sz="4" w:space="0"/>
              <w:right w:val="nil"/>
            </w:tcBorders>
            <w:shd w:val="clear" w:color="auto" w:fill="D7D7D7"/>
            <w:noWrap w:val="0"/>
            <w:vAlign w:val="center"/>
          </w:tcPr>
          <w:p w14:paraId="425EAAD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资金下达文号</w:t>
            </w:r>
          </w:p>
        </w:tc>
        <w:tc>
          <w:tcPr>
            <w:tcW w:w="1951" w:type="dxa"/>
            <w:tcBorders>
              <w:left w:val="single" w:color="auto" w:sz="4" w:space="0"/>
              <w:bottom w:val="single" w:color="auto" w:sz="4" w:space="0"/>
              <w:right w:val="nil"/>
            </w:tcBorders>
            <w:shd w:val="clear" w:color="auto" w:fill="D7D7D7"/>
            <w:noWrap w:val="0"/>
            <w:vAlign w:val="center"/>
          </w:tcPr>
          <w:p w14:paraId="737979D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指标下达日期</w:t>
            </w:r>
          </w:p>
        </w:tc>
      </w:tr>
      <w:tr w14:paraId="069C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24" w:type="dxa"/>
            <w:tcBorders>
              <w:top w:val="single" w:color="auto" w:sz="4" w:space="0"/>
              <w:left w:val="nil"/>
              <w:bottom w:val="single" w:color="auto" w:sz="4" w:space="0"/>
              <w:right w:val="single" w:color="auto" w:sz="4" w:space="0"/>
            </w:tcBorders>
            <w:shd w:val="clear" w:color="auto" w:fill="auto"/>
            <w:noWrap w:val="0"/>
            <w:vAlign w:val="center"/>
          </w:tcPr>
          <w:p w14:paraId="194FBAE2">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334"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1B46125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县级资金</w:t>
            </w:r>
          </w:p>
        </w:tc>
        <w:tc>
          <w:tcPr>
            <w:tcW w:w="1751"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2F7D1C0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121.00</w:t>
            </w:r>
          </w:p>
        </w:tc>
        <w:tc>
          <w:tcPr>
            <w:tcW w:w="2858" w:type="dxa"/>
            <w:tcBorders>
              <w:top w:val="single" w:color="auto" w:sz="4" w:space="0"/>
              <w:left w:val="single" w:color="auto" w:sz="4" w:space="0"/>
              <w:bottom w:val="single" w:color="auto" w:sz="4" w:space="0"/>
              <w:right w:val="nil"/>
            </w:tcBorders>
            <w:shd w:val="clear" w:color="auto" w:fill="auto"/>
            <w:noWrap w:val="0"/>
            <w:vAlign w:val="center"/>
          </w:tcPr>
          <w:p w14:paraId="20C9632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扶财办预〔2024〕1号</w:t>
            </w:r>
          </w:p>
        </w:tc>
        <w:tc>
          <w:tcPr>
            <w:tcW w:w="1951" w:type="dxa"/>
            <w:tcBorders>
              <w:top w:val="single" w:color="auto" w:sz="4" w:space="0"/>
              <w:left w:val="single" w:color="auto" w:sz="4" w:space="0"/>
              <w:bottom w:val="single" w:color="auto" w:sz="4" w:space="0"/>
              <w:right w:val="nil"/>
            </w:tcBorders>
            <w:shd w:val="clear" w:color="auto" w:fill="auto"/>
            <w:noWrap w:val="0"/>
            <w:vAlign w:val="center"/>
          </w:tcPr>
          <w:p w14:paraId="747AD5B1">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2024年3月5日</w:t>
            </w:r>
          </w:p>
        </w:tc>
      </w:tr>
      <w:tr w14:paraId="3B9F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58" w:type="dxa"/>
            <w:gridSpan w:val="2"/>
            <w:tcBorders>
              <w:top w:val="single" w:color="auto" w:sz="4" w:space="0"/>
              <w:left w:val="nil"/>
              <w:right w:val="single" w:color="000000" w:sz="4" w:space="0"/>
            </w:tcBorders>
            <w:shd w:val="clear" w:color="auto" w:fill="auto"/>
            <w:noWrap w:val="0"/>
            <w:vAlign w:val="center"/>
          </w:tcPr>
          <w:p w14:paraId="4A4E87AC">
            <w:pPr>
              <w:spacing w:line="240" w:lineRule="exact"/>
              <w:jc w:val="center"/>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合计</w:t>
            </w:r>
          </w:p>
        </w:tc>
        <w:tc>
          <w:tcPr>
            <w:tcW w:w="1751"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5F090B9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121.00</w:t>
            </w:r>
          </w:p>
        </w:tc>
        <w:tc>
          <w:tcPr>
            <w:tcW w:w="2858" w:type="dxa"/>
            <w:tcBorders>
              <w:top w:val="single" w:color="auto" w:sz="4" w:space="0"/>
              <w:left w:val="single" w:color="auto" w:sz="4" w:space="0"/>
              <w:right w:val="nil"/>
            </w:tcBorders>
            <w:shd w:val="clear" w:color="auto" w:fill="auto"/>
            <w:noWrap w:val="0"/>
            <w:vAlign w:val="center"/>
          </w:tcPr>
          <w:p w14:paraId="5E67AA08">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c>
          <w:tcPr>
            <w:tcW w:w="1951" w:type="dxa"/>
            <w:tcBorders>
              <w:top w:val="single" w:color="auto" w:sz="4" w:space="0"/>
              <w:left w:val="single" w:color="auto" w:sz="4" w:space="0"/>
              <w:bottom w:val="single" w:color="auto" w:sz="4" w:space="0"/>
              <w:right w:val="nil"/>
            </w:tcBorders>
            <w:shd w:val="clear" w:color="auto" w:fill="auto"/>
            <w:noWrap w:val="0"/>
            <w:vAlign w:val="center"/>
          </w:tcPr>
          <w:p w14:paraId="6511013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1859AFE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2.项目资金到位情况</w:t>
      </w:r>
    </w:p>
    <w:p w14:paraId="0077053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_GB2312" w:hAnsi="仿宋_GB2312" w:eastAsia="仿宋_GB2312" w:cs="仿宋_GB2312"/>
          <w:color w:val="auto"/>
          <w:kern w:val="2"/>
          <w:sz w:val="32"/>
          <w:szCs w:val="32"/>
          <w:lang w:val="en-US" w:eastAsia="zh-CN" w:bidi="ar-SA"/>
        </w:rPr>
        <w:t>截至评价日</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该</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到位</w:t>
      </w:r>
      <w:r>
        <w:rPr>
          <w:rFonts w:ascii="仿宋_GB2312" w:hAnsi="仿宋_GB2312" w:eastAsia="仿宋_GB2312" w:cs="仿宋_GB2312"/>
          <w:color w:val="auto"/>
          <w:kern w:val="2"/>
          <w:sz w:val="32"/>
          <w:szCs w:val="32"/>
          <w:lang w:bidi="ar-SA"/>
        </w:rPr>
        <w:t>资金</w:t>
      </w:r>
      <w:r>
        <w:rPr>
          <w:rFonts w:hint="eastAsia" w:ascii="仿宋_GB2312" w:hAnsi="仿宋_GB2312" w:eastAsia="仿宋_GB2312" w:cs="仿宋_GB2312"/>
          <w:color w:val="auto"/>
          <w:kern w:val="2"/>
          <w:sz w:val="32"/>
          <w:szCs w:val="32"/>
          <w:lang w:val="en-US" w:eastAsia="zh-CN" w:bidi="ar-SA"/>
        </w:rPr>
        <w:t>121.00万元</w:t>
      </w:r>
      <w:r>
        <w:rPr>
          <w:rFonts w:ascii="仿宋_GB2312" w:hAnsi="仿宋_GB2312" w:eastAsia="仿宋_GB2312" w:cs="仿宋_GB2312"/>
          <w:color w:val="auto"/>
          <w:kern w:val="2"/>
          <w:sz w:val="32"/>
          <w:szCs w:val="32"/>
          <w:lang w:bidi="ar-SA"/>
        </w:rPr>
        <w:t>，预算资金到位率100</w:t>
      </w:r>
      <w:r>
        <w:rPr>
          <w:rFonts w:hint="eastAsia" w:ascii="仿宋_GB2312" w:hAnsi="仿宋_GB2312" w:eastAsia="仿宋_GB2312" w:cs="仿宋_GB2312"/>
          <w:color w:val="auto"/>
          <w:kern w:val="2"/>
          <w:sz w:val="32"/>
          <w:szCs w:val="32"/>
          <w:lang w:val="en-US" w:eastAsia="zh-CN" w:bidi="ar-SA"/>
        </w:rPr>
        <w:t>.00</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highlight w:val="none"/>
          <w:lang w:val="en-US" w:eastAsia="zh-CN" w:bidi="ar-SA"/>
        </w:rPr>
        <w:t>详见表2。</w:t>
      </w:r>
    </w:p>
    <w:p w14:paraId="15EDC00F">
      <w:pPr>
        <w:keepNext w:val="0"/>
        <w:keepLines w:val="0"/>
        <w:pageBreakBefore w:val="0"/>
        <w:widowControl w:val="0"/>
        <w:kinsoku/>
        <w:wordWrap/>
        <w:overflowPunct/>
        <w:topLinePunct w:val="0"/>
        <w:autoSpaceDE/>
        <w:autoSpaceDN/>
        <w:bidi w:val="0"/>
        <w:adjustRightInd/>
        <w:snapToGrid/>
        <w:spacing w:line="560" w:lineRule="exact"/>
        <w:ind w:left="7590" w:hanging="7641" w:hangingChars="270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bidi="ar-SA"/>
        </w:rPr>
        <w:t>表2   项目预算资金到位情况表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单位：万元</w:t>
      </w:r>
    </w:p>
    <w:tbl>
      <w:tblPr>
        <w:tblStyle w:val="16"/>
        <w:tblpPr w:leftFromText="181" w:rightFromText="181" w:vertAnchor="text" w:horzAnchor="page" w:tblpX="1668" w:tblpY="114"/>
        <w:tblOverlap w:val="never"/>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2"/>
        <w:gridCol w:w="1640"/>
        <w:gridCol w:w="1180"/>
        <w:gridCol w:w="1771"/>
        <w:gridCol w:w="2149"/>
      </w:tblGrid>
      <w:tr w14:paraId="6878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5" w:type="dxa"/>
            <w:tcBorders>
              <w:left w:val="nil"/>
              <w:bottom w:val="single" w:color="auto" w:sz="4" w:space="0"/>
              <w:right w:val="single" w:color="auto" w:sz="4" w:space="0"/>
            </w:tcBorders>
            <w:shd w:val="clear" w:color="auto" w:fill="D7D7D7"/>
            <w:noWrap w:val="0"/>
            <w:vAlign w:val="center"/>
          </w:tcPr>
          <w:p w14:paraId="15C59CD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1302" w:type="dxa"/>
            <w:tcBorders>
              <w:left w:val="single" w:color="auto" w:sz="4" w:space="0"/>
              <w:bottom w:val="single" w:color="auto" w:sz="4" w:space="0"/>
              <w:right w:val="single" w:color="000000" w:sz="4" w:space="0"/>
            </w:tcBorders>
            <w:shd w:val="clear" w:color="auto" w:fill="D7D7D7"/>
            <w:noWrap w:val="0"/>
            <w:vAlign w:val="center"/>
          </w:tcPr>
          <w:p w14:paraId="6592FF1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资金来源</w:t>
            </w:r>
          </w:p>
        </w:tc>
        <w:tc>
          <w:tcPr>
            <w:tcW w:w="1640" w:type="dxa"/>
            <w:tcBorders>
              <w:left w:val="single" w:color="000000" w:sz="4" w:space="0"/>
              <w:bottom w:val="single" w:color="auto" w:sz="4" w:space="0"/>
              <w:right w:val="single" w:color="auto" w:sz="4" w:space="0"/>
            </w:tcBorders>
            <w:shd w:val="clear" w:color="auto" w:fill="D7D7D7"/>
            <w:noWrap w:val="0"/>
            <w:vAlign w:val="center"/>
          </w:tcPr>
          <w:p w14:paraId="4F9561B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预算到位资金</w:t>
            </w:r>
          </w:p>
        </w:tc>
        <w:tc>
          <w:tcPr>
            <w:tcW w:w="1180" w:type="dxa"/>
            <w:tcBorders>
              <w:left w:val="single" w:color="auto" w:sz="4" w:space="0"/>
              <w:bottom w:val="single" w:color="auto" w:sz="4" w:space="0"/>
              <w:right w:val="nil"/>
            </w:tcBorders>
            <w:shd w:val="clear" w:color="auto" w:fill="D7D7D7"/>
            <w:noWrap w:val="0"/>
            <w:vAlign w:val="center"/>
          </w:tcPr>
          <w:p w14:paraId="19738070">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到位资金</w:t>
            </w:r>
          </w:p>
        </w:tc>
        <w:tc>
          <w:tcPr>
            <w:tcW w:w="1771" w:type="dxa"/>
            <w:tcBorders>
              <w:left w:val="single" w:color="auto" w:sz="4" w:space="0"/>
              <w:bottom w:val="single" w:color="auto" w:sz="4" w:space="0"/>
              <w:right w:val="nil"/>
            </w:tcBorders>
            <w:shd w:val="clear" w:color="auto" w:fill="D7D7D7"/>
            <w:noWrap w:val="0"/>
            <w:vAlign w:val="center"/>
          </w:tcPr>
          <w:p w14:paraId="3282EBD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预算资金到位率</w:t>
            </w:r>
          </w:p>
        </w:tc>
        <w:tc>
          <w:tcPr>
            <w:tcW w:w="2149" w:type="dxa"/>
            <w:tcBorders>
              <w:left w:val="single" w:color="auto" w:sz="4" w:space="0"/>
              <w:bottom w:val="single" w:color="auto" w:sz="4" w:space="0"/>
              <w:right w:val="nil"/>
            </w:tcBorders>
            <w:shd w:val="clear" w:color="auto" w:fill="D7D7D7"/>
            <w:noWrap w:val="0"/>
            <w:vAlign w:val="center"/>
          </w:tcPr>
          <w:p w14:paraId="5B0F8FC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到位日期</w:t>
            </w:r>
          </w:p>
        </w:tc>
      </w:tr>
      <w:tr w14:paraId="3EF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5" w:type="dxa"/>
            <w:tcBorders>
              <w:top w:val="single" w:color="auto" w:sz="4" w:space="0"/>
              <w:left w:val="nil"/>
              <w:bottom w:val="single" w:color="auto" w:sz="4" w:space="0"/>
              <w:right w:val="single" w:color="auto" w:sz="4" w:space="0"/>
            </w:tcBorders>
            <w:shd w:val="clear" w:color="auto" w:fill="auto"/>
            <w:noWrap w:val="0"/>
            <w:vAlign w:val="center"/>
          </w:tcPr>
          <w:p w14:paraId="59AF495A">
            <w:pPr>
              <w:spacing w:line="240" w:lineRule="exact"/>
              <w:jc w:val="center"/>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w:t>
            </w:r>
          </w:p>
        </w:tc>
        <w:tc>
          <w:tcPr>
            <w:tcW w:w="130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3BB5F4D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县级资金</w:t>
            </w:r>
          </w:p>
        </w:tc>
        <w:tc>
          <w:tcPr>
            <w:tcW w:w="1640"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04CC7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121.00</w:t>
            </w:r>
          </w:p>
        </w:tc>
        <w:tc>
          <w:tcPr>
            <w:tcW w:w="1180" w:type="dxa"/>
            <w:tcBorders>
              <w:top w:val="single" w:color="auto" w:sz="4" w:space="0"/>
              <w:left w:val="single" w:color="auto" w:sz="4" w:space="0"/>
              <w:bottom w:val="single" w:color="auto" w:sz="4" w:space="0"/>
              <w:right w:val="nil"/>
            </w:tcBorders>
            <w:shd w:val="clear" w:color="auto" w:fill="auto"/>
            <w:noWrap w:val="0"/>
            <w:vAlign w:val="center"/>
          </w:tcPr>
          <w:p w14:paraId="6DD77D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121.00</w:t>
            </w:r>
          </w:p>
        </w:tc>
        <w:tc>
          <w:tcPr>
            <w:tcW w:w="1771" w:type="dxa"/>
            <w:tcBorders>
              <w:top w:val="single" w:color="auto" w:sz="4" w:space="0"/>
              <w:left w:val="single" w:color="auto" w:sz="4" w:space="0"/>
              <w:bottom w:val="single" w:color="auto" w:sz="4" w:space="0"/>
              <w:right w:val="nil"/>
            </w:tcBorders>
            <w:shd w:val="clear" w:color="auto" w:fill="auto"/>
            <w:noWrap w:val="0"/>
            <w:vAlign w:val="center"/>
          </w:tcPr>
          <w:p w14:paraId="6DEBC0C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100.00%</w:t>
            </w:r>
          </w:p>
        </w:tc>
        <w:tc>
          <w:tcPr>
            <w:tcW w:w="2149" w:type="dxa"/>
            <w:tcBorders>
              <w:top w:val="single" w:color="auto" w:sz="4" w:space="0"/>
              <w:left w:val="single" w:color="auto" w:sz="4" w:space="0"/>
              <w:bottom w:val="single" w:color="auto" w:sz="4" w:space="0"/>
              <w:right w:val="nil"/>
            </w:tcBorders>
            <w:shd w:val="clear" w:color="auto" w:fill="auto"/>
            <w:noWrap w:val="0"/>
            <w:vAlign w:val="center"/>
          </w:tcPr>
          <w:p w14:paraId="1B440F3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1"/>
                <w:szCs w:val="21"/>
                <w:highlight w:val="none"/>
                <w:vertAlign w:val="baseline"/>
                <w:lang w:val="en-US" w:eastAsia="zh-CN" w:bidi="ar-SA"/>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2024年3月5日</w:t>
            </w:r>
          </w:p>
        </w:tc>
      </w:tr>
      <w:tr w14:paraId="00D6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97" w:type="dxa"/>
            <w:gridSpan w:val="2"/>
            <w:tcBorders>
              <w:top w:val="single" w:color="auto" w:sz="4" w:space="0"/>
              <w:left w:val="nil"/>
              <w:right w:val="single" w:color="000000" w:sz="4" w:space="0"/>
            </w:tcBorders>
            <w:shd w:val="clear" w:color="auto" w:fill="auto"/>
            <w:noWrap w:val="0"/>
            <w:vAlign w:val="center"/>
          </w:tcPr>
          <w:p w14:paraId="5464EC5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合计</w:t>
            </w:r>
          </w:p>
        </w:tc>
        <w:tc>
          <w:tcPr>
            <w:tcW w:w="1640" w:type="dxa"/>
            <w:tcBorders>
              <w:top w:val="single" w:color="auto" w:sz="4" w:space="0"/>
              <w:left w:val="single" w:color="000000" w:sz="4" w:space="0"/>
              <w:bottom w:val="single" w:color="auto" w:sz="4" w:space="0"/>
              <w:right w:val="single" w:color="auto" w:sz="4" w:space="0"/>
            </w:tcBorders>
            <w:shd w:val="clear" w:color="auto" w:fill="auto"/>
            <w:noWrap w:val="0"/>
            <w:vAlign w:val="center"/>
          </w:tcPr>
          <w:p w14:paraId="6E0541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121.00</w:t>
            </w:r>
          </w:p>
        </w:tc>
        <w:tc>
          <w:tcPr>
            <w:tcW w:w="1180" w:type="dxa"/>
            <w:tcBorders>
              <w:top w:val="single" w:color="auto" w:sz="4" w:space="0"/>
              <w:left w:val="single" w:color="auto" w:sz="4" w:space="0"/>
              <w:bottom w:val="single" w:color="auto" w:sz="4" w:space="0"/>
              <w:right w:val="nil"/>
            </w:tcBorders>
            <w:shd w:val="clear" w:color="auto" w:fill="auto"/>
            <w:noWrap w:val="0"/>
            <w:vAlign w:val="center"/>
          </w:tcPr>
          <w:p w14:paraId="641806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121.00</w:t>
            </w:r>
          </w:p>
        </w:tc>
        <w:tc>
          <w:tcPr>
            <w:tcW w:w="1771" w:type="dxa"/>
            <w:tcBorders>
              <w:top w:val="single" w:color="auto" w:sz="4" w:space="0"/>
              <w:left w:val="single" w:color="auto" w:sz="4" w:space="0"/>
              <w:right w:val="nil"/>
            </w:tcBorders>
            <w:shd w:val="clear" w:color="auto" w:fill="auto"/>
            <w:noWrap w:val="0"/>
            <w:vAlign w:val="center"/>
          </w:tcPr>
          <w:p w14:paraId="25F9E24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c>
          <w:tcPr>
            <w:tcW w:w="2149" w:type="dxa"/>
            <w:tcBorders>
              <w:top w:val="single" w:color="auto" w:sz="4" w:space="0"/>
              <w:left w:val="single" w:color="auto" w:sz="4" w:space="0"/>
              <w:bottom w:val="single" w:color="auto" w:sz="4" w:space="0"/>
              <w:right w:val="nil"/>
            </w:tcBorders>
            <w:shd w:val="clear" w:color="auto" w:fill="auto"/>
            <w:noWrap w:val="0"/>
            <w:vAlign w:val="center"/>
          </w:tcPr>
          <w:p w14:paraId="175521D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46A05B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项目预算</w:t>
      </w:r>
      <w:r>
        <w:rPr>
          <w:rFonts w:hint="eastAsia" w:ascii="楷体" w:hAnsi="楷体" w:eastAsia="楷体" w:cs="楷体"/>
          <w:b/>
          <w:bCs/>
          <w:color w:val="auto"/>
          <w:sz w:val="32"/>
          <w:szCs w:val="32"/>
          <w:highlight w:val="none"/>
          <w:lang w:val="en-US" w:eastAsia="zh-CN"/>
        </w:rPr>
        <w:t>资金</w:t>
      </w:r>
      <w:r>
        <w:rPr>
          <w:rFonts w:hint="eastAsia" w:ascii="楷体" w:hAnsi="楷体" w:eastAsia="楷体" w:cs="楷体"/>
          <w:b/>
          <w:bCs/>
          <w:color w:val="auto"/>
          <w:sz w:val="32"/>
          <w:szCs w:val="32"/>
          <w:highlight w:val="none"/>
          <w:lang w:eastAsia="zh-CN"/>
        </w:rPr>
        <w:t>执行情况</w:t>
      </w:r>
    </w:p>
    <w:p w14:paraId="7DE8D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val="0"/>
          <w:bCs w:val="0"/>
          <w:color w:val="auto"/>
          <w:kern w:val="2"/>
          <w:sz w:val="32"/>
          <w:szCs w:val="32"/>
          <w:lang w:bidi="ar-SA"/>
        </w:rPr>
      </w:pPr>
      <w:r>
        <w:rPr>
          <w:rFonts w:ascii="仿宋_GB2312" w:hAnsi="仿宋_GB2312" w:eastAsia="仿宋_GB2312" w:cs="仿宋_GB2312"/>
          <w:b w:val="0"/>
          <w:bCs w:val="0"/>
          <w:color w:val="auto"/>
          <w:kern w:val="2"/>
          <w:sz w:val="32"/>
          <w:szCs w:val="32"/>
          <w:lang w:bidi="ar-SA"/>
        </w:rPr>
        <w:t>项目到位预算资金为</w:t>
      </w:r>
      <w:r>
        <w:rPr>
          <w:rFonts w:hint="eastAsia" w:ascii="仿宋_GB2312" w:hAnsi="仿宋_GB2312" w:eastAsia="仿宋_GB2312" w:cs="仿宋_GB2312"/>
          <w:color w:val="auto"/>
          <w:kern w:val="2"/>
          <w:sz w:val="32"/>
          <w:szCs w:val="32"/>
          <w:lang w:val="en-US" w:eastAsia="zh-CN" w:bidi="ar-SA"/>
        </w:rPr>
        <w:t>121.00万</w:t>
      </w:r>
      <w:r>
        <w:rPr>
          <w:rFonts w:ascii="仿宋_GB2312" w:hAnsi="仿宋_GB2312" w:eastAsia="仿宋_GB2312" w:cs="仿宋_GB2312"/>
          <w:b w:val="0"/>
          <w:bCs w:val="0"/>
          <w:color w:val="auto"/>
          <w:kern w:val="2"/>
          <w:sz w:val="32"/>
          <w:szCs w:val="32"/>
          <w:lang w:bidi="ar-SA"/>
        </w:rPr>
        <w:t>元，截至评价日，实际支出为</w:t>
      </w:r>
      <w:r>
        <w:rPr>
          <w:rFonts w:hint="eastAsia" w:ascii="仿宋_GB2312" w:hAnsi="仿宋_GB2312" w:eastAsia="仿宋_GB2312" w:cs="仿宋_GB2312"/>
          <w:b w:val="0"/>
          <w:bCs w:val="0"/>
          <w:color w:val="auto"/>
          <w:kern w:val="2"/>
          <w:sz w:val="32"/>
          <w:szCs w:val="32"/>
          <w:lang w:val="en-US" w:eastAsia="zh-CN" w:bidi="ar-SA"/>
        </w:rPr>
        <w:t>121.00万</w:t>
      </w:r>
      <w:r>
        <w:rPr>
          <w:rFonts w:ascii="仿宋_GB2312" w:hAnsi="仿宋_GB2312" w:eastAsia="仿宋_GB2312" w:cs="仿宋_GB2312"/>
          <w:b w:val="0"/>
          <w:bCs w:val="0"/>
          <w:color w:val="auto"/>
          <w:kern w:val="2"/>
          <w:sz w:val="32"/>
          <w:szCs w:val="32"/>
          <w:lang w:bidi="ar-SA"/>
        </w:rPr>
        <w:t>元</w:t>
      </w:r>
      <w:r>
        <w:rPr>
          <w:rFonts w:hint="eastAsia" w:ascii="仿宋_GB2312" w:hAnsi="仿宋_GB2312" w:eastAsia="仿宋_GB2312" w:cs="仿宋_GB2312"/>
          <w:b w:val="0"/>
          <w:bCs w:val="0"/>
          <w:color w:val="auto"/>
          <w:kern w:val="2"/>
          <w:sz w:val="32"/>
          <w:szCs w:val="32"/>
          <w:lang w:eastAsia="zh-CN" w:bidi="ar-SA"/>
        </w:rPr>
        <w:t>，</w:t>
      </w:r>
      <w:r>
        <w:rPr>
          <w:rFonts w:ascii="仿宋_GB2312" w:hAnsi="仿宋_GB2312" w:eastAsia="仿宋_GB2312" w:cs="仿宋_GB2312"/>
          <w:b w:val="0"/>
          <w:bCs w:val="0"/>
          <w:color w:val="auto"/>
          <w:kern w:val="2"/>
          <w:sz w:val="32"/>
          <w:szCs w:val="32"/>
          <w:lang w:bidi="ar-SA"/>
        </w:rPr>
        <w:t>财政到位预算资金执行率100</w:t>
      </w:r>
      <w:r>
        <w:rPr>
          <w:rFonts w:hint="eastAsia" w:ascii="仿宋_GB2312" w:hAnsi="仿宋_GB2312" w:eastAsia="仿宋_GB2312" w:cs="仿宋_GB2312"/>
          <w:b w:val="0"/>
          <w:bCs w:val="0"/>
          <w:color w:val="auto"/>
          <w:kern w:val="2"/>
          <w:sz w:val="32"/>
          <w:szCs w:val="32"/>
          <w:lang w:val="en-US" w:eastAsia="zh-CN" w:bidi="ar-SA"/>
        </w:rPr>
        <w:t>.00</w:t>
      </w:r>
      <w:r>
        <w:rPr>
          <w:rFonts w:ascii="仿宋_GB2312" w:hAnsi="仿宋_GB2312" w:eastAsia="仿宋_GB2312" w:cs="仿宋_GB2312"/>
          <w:b w:val="0"/>
          <w:bCs w:val="0"/>
          <w:color w:val="auto"/>
          <w:kern w:val="2"/>
          <w:sz w:val="32"/>
          <w:szCs w:val="32"/>
          <w:lang w:bidi="ar-SA"/>
        </w:rPr>
        <w:t>%。</w:t>
      </w:r>
      <w:r>
        <w:rPr>
          <w:rFonts w:hint="eastAsia" w:ascii="仿宋_GB2312" w:hAnsi="仿宋_GB2312" w:eastAsia="仿宋_GB2312" w:cs="仿宋_GB2312"/>
          <w:b w:val="0"/>
          <w:bCs w:val="0"/>
          <w:color w:val="auto"/>
          <w:kern w:val="2"/>
          <w:sz w:val="32"/>
          <w:szCs w:val="32"/>
          <w:lang w:val="en-US" w:eastAsia="zh-CN" w:bidi="ar-SA"/>
        </w:rPr>
        <w:t>详见表3。</w:t>
      </w:r>
    </w:p>
    <w:p w14:paraId="7548C83A">
      <w:pPr>
        <w:keepNext w:val="0"/>
        <w:keepLines w:val="0"/>
        <w:pageBreakBefore w:val="0"/>
        <w:widowControl w:val="0"/>
        <w:kinsoku/>
        <w:wordWrap/>
        <w:overflowPunct/>
        <w:topLinePunct w:val="0"/>
        <w:autoSpaceDE/>
        <w:autoSpaceDN/>
        <w:bidi w:val="0"/>
        <w:adjustRightInd/>
        <w:snapToGrid/>
        <w:spacing w:line="560" w:lineRule="exact"/>
        <w:ind w:firstLine="1415" w:firstLineChars="5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kern w:val="2"/>
          <w:sz w:val="28"/>
          <w:szCs w:val="28"/>
          <w:highlight w:val="none"/>
          <w:lang w:val="en-US" w:eastAsia="zh-CN" w:bidi="ar-SA"/>
        </w:rPr>
        <w:t xml:space="preserve">表3  项目预算资金执行情况表     </w:t>
      </w:r>
      <w:r>
        <w:rPr>
          <w:rFonts w:hint="eastAsia" w:ascii="仿宋_GB2312" w:hAnsi="仿宋_GB2312" w:eastAsia="仿宋_GB2312" w:cs="仿宋_GB2312"/>
          <w:color w:val="auto"/>
          <w:sz w:val="21"/>
          <w:szCs w:val="21"/>
          <w:highlight w:val="none"/>
          <w:lang w:val="en-US" w:eastAsia="zh-CN"/>
        </w:rPr>
        <w:t>单位：万元</w:t>
      </w:r>
    </w:p>
    <w:tbl>
      <w:tblPr>
        <w:tblStyle w:val="16"/>
        <w:tblpPr w:leftFromText="181" w:rightFromText="181" w:vertAnchor="text" w:horzAnchor="page" w:tblpX="1718" w:tblpY="114"/>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607"/>
        <w:gridCol w:w="1476"/>
        <w:gridCol w:w="1422"/>
        <w:gridCol w:w="1422"/>
        <w:gridCol w:w="1139"/>
      </w:tblGrid>
      <w:tr w14:paraId="1F68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30" w:type="dxa"/>
            <w:tcBorders>
              <w:left w:val="nil"/>
              <w:bottom w:val="single" w:color="auto" w:sz="4" w:space="0"/>
              <w:right w:val="single" w:color="auto" w:sz="4" w:space="0"/>
            </w:tcBorders>
            <w:shd w:val="clear" w:color="auto" w:fill="D7D7D7"/>
            <w:noWrap w:val="0"/>
            <w:vAlign w:val="center"/>
          </w:tcPr>
          <w:p w14:paraId="57F62AA5">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序号</w:t>
            </w:r>
          </w:p>
        </w:tc>
        <w:tc>
          <w:tcPr>
            <w:tcW w:w="2607" w:type="dxa"/>
            <w:tcBorders>
              <w:left w:val="single" w:color="auto" w:sz="4" w:space="0"/>
              <w:bottom w:val="single" w:color="auto" w:sz="4" w:space="0"/>
              <w:right w:val="single" w:color="auto" w:sz="4" w:space="0"/>
            </w:tcBorders>
            <w:shd w:val="clear" w:color="auto" w:fill="D7D7D7"/>
            <w:noWrap w:val="0"/>
            <w:vAlign w:val="center"/>
          </w:tcPr>
          <w:p w14:paraId="056DF680">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项目名称</w:t>
            </w:r>
          </w:p>
        </w:tc>
        <w:tc>
          <w:tcPr>
            <w:tcW w:w="1476" w:type="dxa"/>
            <w:tcBorders>
              <w:left w:val="single" w:color="auto" w:sz="4" w:space="0"/>
              <w:bottom w:val="single" w:color="auto" w:sz="4" w:space="0"/>
              <w:right w:val="single" w:color="auto" w:sz="4" w:space="0"/>
            </w:tcBorders>
            <w:shd w:val="clear" w:color="auto" w:fill="D7D7D7"/>
            <w:noWrap w:val="0"/>
            <w:vAlign w:val="center"/>
          </w:tcPr>
          <w:p w14:paraId="4AFBEA07">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预算到位资金</w:t>
            </w:r>
          </w:p>
        </w:tc>
        <w:tc>
          <w:tcPr>
            <w:tcW w:w="1422" w:type="dxa"/>
            <w:tcBorders>
              <w:left w:val="single" w:color="000000" w:sz="4" w:space="0"/>
              <w:bottom w:val="single" w:color="auto" w:sz="4" w:space="0"/>
              <w:right w:val="single" w:color="000000" w:sz="4" w:space="0"/>
            </w:tcBorders>
            <w:shd w:val="clear" w:color="auto" w:fill="D7D7D7"/>
            <w:noWrap w:val="0"/>
            <w:vAlign w:val="center"/>
          </w:tcPr>
          <w:p w14:paraId="65DCEE96">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实际执行资金</w:t>
            </w:r>
          </w:p>
        </w:tc>
        <w:tc>
          <w:tcPr>
            <w:tcW w:w="1422" w:type="dxa"/>
            <w:tcBorders>
              <w:left w:val="single" w:color="000000" w:sz="4" w:space="0"/>
              <w:bottom w:val="single" w:color="auto" w:sz="4" w:space="0"/>
              <w:right w:val="single" w:color="auto" w:sz="4" w:space="0"/>
            </w:tcBorders>
            <w:shd w:val="clear" w:color="auto" w:fill="D7D7D7"/>
            <w:noWrap w:val="0"/>
            <w:vAlign w:val="center"/>
          </w:tcPr>
          <w:p w14:paraId="3D91DEB6">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实际执行超出预算金额</w:t>
            </w:r>
          </w:p>
        </w:tc>
        <w:tc>
          <w:tcPr>
            <w:tcW w:w="1139" w:type="dxa"/>
            <w:tcBorders>
              <w:left w:val="single" w:color="auto" w:sz="4" w:space="0"/>
              <w:bottom w:val="single" w:color="auto" w:sz="4" w:space="0"/>
              <w:right w:val="nil"/>
            </w:tcBorders>
            <w:shd w:val="clear" w:color="auto" w:fill="D7D7D7"/>
            <w:noWrap w:val="0"/>
            <w:vAlign w:val="center"/>
          </w:tcPr>
          <w:p w14:paraId="48257931">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预算执行率</w:t>
            </w:r>
          </w:p>
        </w:tc>
      </w:tr>
      <w:tr w14:paraId="5588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30" w:type="dxa"/>
            <w:tcBorders>
              <w:top w:val="single" w:color="auto" w:sz="4" w:space="0"/>
              <w:left w:val="nil"/>
              <w:bottom w:val="single" w:color="auto" w:sz="4" w:space="0"/>
              <w:right w:val="single" w:color="auto" w:sz="4" w:space="0"/>
            </w:tcBorders>
            <w:noWrap w:val="0"/>
            <w:vAlign w:val="center"/>
          </w:tcPr>
          <w:p w14:paraId="28DA1F0C">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b w:val="0"/>
                <w:bCs w:val="0"/>
                <w:color w:val="auto"/>
                <w:kern w:val="2"/>
                <w:sz w:val="18"/>
                <w:szCs w:val="18"/>
                <w:highlight w:val="none"/>
                <w:vertAlign w:val="baseline"/>
                <w:lang w:val="en-US" w:eastAsia="zh-CN" w:bidi="ar-SA"/>
              </w:rPr>
              <w:t>1</w:t>
            </w:r>
          </w:p>
        </w:tc>
        <w:tc>
          <w:tcPr>
            <w:tcW w:w="2607" w:type="dxa"/>
            <w:tcBorders>
              <w:top w:val="single" w:color="auto" w:sz="4" w:space="0"/>
              <w:left w:val="single" w:color="auto" w:sz="4" w:space="0"/>
              <w:bottom w:val="single" w:color="auto" w:sz="4" w:space="0"/>
              <w:right w:val="single" w:color="auto" w:sz="4" w:space="0"/>
            </w:tcBorders>
            <w:noWrap w:val="0"/>
            <w:vAlign w:val="center"/>
          </w:tcPr>
          <w:p w14:paraId="08595B03">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sz w:val="18"/>
                <w:szCs w:val="18"/>
                <w:lang w:val="en-US" w:eastAsia="zh-CN"/>
              </w:rPr>
              <w:t>2024年扶风县绛帐镇镇区管理及环卫补助资金项目</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1E080F0E">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121.00</w:t>
            </w:r>
          </w:p>
        </w:tc>
        <w:tc>
          <w:tcPr>
            <w:tcW w:w="1422" w:type="dxa"/>
            <w:tcBorders>
              <w:top w:val="single" w:color="auto" w:sz="4" w:space="0"/>
              <w:left w:val="single" w:color="000000" w:sz="4" w:space="0"/>
              <w:bottom w:val="single" w:color="auto" w:sz="4" w:space="0"/>
              <w:right w:val="single" w:color="000000" w:sz="4" w:space="0"/>
            </w:tcBorders>
            <w:noWrap w:val="0"/>
            <w:vAlign w:val="center"/>
          </w:tcPr>
          <w:p w14:paraId="651A7BD8">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b w:val="0"/>
                <w:bCs w:val="0"/>
                <w:color w:val="auto"/>
                <w:kern w:val="2"/>
                <w:sz w:val="21"/>
                <w:szCs w:val="21"/>
                <w:highlight w:val="none"/>
                <w:vertAlign w:val="baseline"/>
                <w:lang w:val="en-US" w:eastAsia="zh-CN" w:bidi="ar-SA"/>
              </w:rPr>
              <w:t>121.00</w:t>
            </w:r>
          </w:p>
        </w:tc>
        <w:tc>
          <w:tcPr>
            <w:tcW w:w="1422" w:type="dxa"/>
            <w:tcBorders>
              <w:top w:val="single" w:color="auto" w:sz="4" w:space="0"/>
              <w:left w:val="single" w:color="000000" w:sz="4" w:space="0"/>
              <w:bottom w:val="single" w:color="auto" w:sz="4" w:space="0"/>
              <w:right w:val="single" w:color="auto" w:sz="4" w:space="0"/>
            </w:tcBorders>
            <w:noWrap w:val="0"/>
            <w:vAlign w:val="center"/>
          </w:tcPr>
          <w:p w14:paraId="69EE8A6D">
            <w:pPr>
              <w:pStyle w:val="9"/>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0.00</w:t>
            </w:r>
          </w:p>
        </w:tc>
        <w:tc>
          <w:tcPr>
            <w:tcW w:w="1139" w:type="dxa"/>
            <w:tcBorders>
              <w:top w:val="single" w:color="auto" w:sz="4" w:space="0"/>
              <w:left w:val="single" w:color="auto" w:sz="4" w:space="0"/>
              <w:bottom w:val="single" w:color="auto" w:sz="4" w:space="0"/>
              <w:right w:val="nil"/>
            </w:tcBorders>
            <w:noWrap w:val="0"/>
            <w:vAlign w:val="center"/>
          </w:tcPr>
          <w:p w14:paraId="248ACB8F">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val="0"/>
                <w:color w:val="auto"/>
                <w:kern w:val="2"/>
                <w:sz w:val="18"/>
                <w:szCs w:val="18"/>
                <w:highlight w:val="none"/>
                <w:vertAlign w:val="baseline"/>
                <w:lang w:val="en-US" w:eastAsia="zh-CN" w:bidi="ar-SA"/>
              </w:rPr>
            </w:pPr>
            <w:r>
              <w:rPr>
                <w:rFonts w:hint="eastAsia" w:ascii="仿宋_GB2312" w:hAnsi="仿宋_GB2312" w:eastAsia="仿宋_GB2312" w:cs="仿宋_GB2312"/>
                <w:b w:val="0"/>
                <w:bCs w:val="0"/>
                <w:color w:val="auto"/>
                <w:kern w:val="2"/>
                <w:sz w:val="18"/>
                <w:szCs w:val="18"/>
                <w:highlight w:val="none"/>
                <w:vertAlign w:val="baseline"/>
                <w:lang w:val="en-US" w:eastAsia="zh-CN" w:bidi="ar-SA"/>
              </w:rPr>
              <w:t>100.00%</w:t>
            </w:r>
          </w:p>
        </w:tc>
      </w:tr>
      <w:tr w14:paraId="5C4D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237" w:type="dxa"/>
            <w:gridSpan w:val="2"/>
            <w:tcBorders>
              <w:top w:val="single" w:color="auto" w:sz="4" w:space="0"/>
              <w:left w:val="nil"/>
              <w:bottom w:val="single" w:color="auto" w:sz="4" w:space="0"/>
              <w:right w:val="single" w:color="auto" w:sz="4" w:space="0"/>
            </w:tcBorders>
            <w:noWrap w:val="0"/>
            <w:vAlign w:val="center"/>
          </w:tcPr>
          <w:p w14:paraId="00996AEF">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合计</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76B62697">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auto"/>
                <w:kern w:val="2"/>
                <w:sz w:val="21"/>
                <w:szCs w:val="21"/>
                <w:highlight w:val="none"/>
                <w:vertAlign w:val="baseline"/>
                <w:lang w:val="en-US" w:eastAsia="zh-CN" w:bidi="ar-SA"/>
              </w:rPr>
              <w:t>121.00</w:t>
            </w:r>
          </w:p>
        </w:tc>
        <w:tc>
          <w:tcPr>
            <w:tcW w:w="1422" w:type="dxa"/>
            <w:tcBorders>
              <w:top w:val="single" w:color="auto" w:sz="4" w:space="0"/>
              <w:left w:val="single" w:color="000000" w:sz="4" w:space="0"/>
              <w:bottom w:val="single" w:color="auto" w:sz="4" w:space="0"/>
              <w:right w:val="single" w:color="000000" w:sz="4" w:space="0"/>
            </w:tcBorders>
            <w:noWrap w:val="0"/>
            <w:vAlign w:val="center"/>
          </w:tcPr>
          <w:p w14:paraId="7DE4F186">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auto"/>
                <w:kern w:val="2"/>
                <w:sz w:val="21"/>
                <w:szCs w:val="21"/>
                <w:highlight w:val="none"/>
                <w:vertAlign w:val="baseline"/>
                <w:lang w:val="en-US" w:eastAsia="zh-CN" w:bidi="ar-SA"/>
              </w:rPr>
              <w:t>121.00</w:t>
            </w:r>
          </w:p>
        </w:tc>
        <w:tc>
          <w:tcPr>
            <w:tcW w:w="1422" w:type="dxa"/>
            <w:tcBorders>
              <w:top w:val="single" w:color="auto" w:sz="4" w:space="0"/>
              <w:left w:val="single" w:color="000000" w:sz="4" w:space="0"/>
              <w:bottom w:val="single" w:color="auto" w:sz="4" w:space="0"/>
              <w:right w:val="single" w:color="auto" w:sz="4" w:space="0"/>
            </w:tcBorders>
            <w:noWrap w:val="0"/>
            <w:vAlign w:val="center"/>
          </w:tcPr>
          <w:p w14:paraId="1002E9DB">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auto"/>
                <w:kern w:val="2"/>
                <w:sz w:val="21"/>
                <w:szCs w:val="21"/>
                <w:highlight w:val="none"/>
                <w:vertAlign w:val="baseline"/>
                <w:lang w:val="en-US" w:eastAsia="zh-CN" w:bidi="ar-SA"/>
              </w:rPr>
              <w:t>0.00</w:t>
            </w:r>
          </w:p>
        </w:tc>
        <w:tc>
          <w:tcPr>
            <w:tcW w:w="1139" w:type="dxa"/>
            <w:tcBorders>
              <w:top w:val="single" w:color="auto" w:sz="4" w:space="0"/>
              <w:left w:val="single" w:color="auto" w:sz="4" w:space="0"/>
              <w:bottom w:val="single" w:color="auto" w:sz="4" w:space="0"/>
              <w:right w:val="nil"/>
            </w:tcBorders>
            <w:noWrap w:val="0"/>
            <w:vAlign w:val="center"/>
          </w:tcPr>
          <w:p w14:paraId="7132D86E">
            <w:pPr>
              <w:pStyle w:val="9"/>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color w:val="auto"/>
                <w:kern w:val="2"/>
                <w:sz w:val="18"/>
                <w:szCs w:val="18"/>
                <w:highlight w:val="none"/>
                <w:vertAlign w:val="baseline"/>
                <w:lang w:val="en-US" w:eastAsia="zh-CN" w:bidi="ar-SA"/>
              </w:rPr>
            </w:pPr>
            <w:r>
              <w:rPr>
                <w:rFonts w:hint="eastAsia" w:ascii="仿宋_GB2312" w:hAnsi="仿宋_GB2312" w:eastAsia="仿宋_GB2312" w:cs="仿宋_GB2312"/>
                <w:b/>
                <w:bCs/>
                <w:color w:val="auto"/>
                <w:kern w:val="2"/>
                <w:sz w:val="18"/>
                <w:szCs w:val="18"/>
                <w:highlight w:val="none"/>
                <w:vertAlign w:val="baseline"/>
                <w:lang w:val="en-US" w:eastAsia="zh-CN" w:bidi="ar-SA"/>
              </w:rPr>
              <w:t>100.00%</w:t>
            </w:r>
          </w:p>
        </w:tc>
      </w:tr>
    </w:tbl>
    <w:p w14:paraId="3214582B">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（五）项目实施及绩效目标完成情况</w:t>
      </w:r>
    </w:p>
    <w:p w14:paraId="37CBC42D">
      <w:pPr>
        <w:keepNext w:val="0"/>
        <w:keepLines w:val="0"/>
        <w:pageBreakBefore w:val="0"/>
        <w:widowControl w:val="0"/>
        <w:kinsoku/>
        <w:wordWrap/>
        <w:overflowPunct/>
        <w:topLinePunct w:val="0"/>
        <w:autoSpaceDE/>
        <w:autoSpaceDN/>
        <w:bidi w:val="0"/>
        <w:adjustRightIn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ascii="仿宋_GB2312" w:hAnsi="仿宋_GB2312" w:eastAsia="仿宋_GB2312" w:cs="仿宋_GB2312"/>
          <w:b w:val="0"/>
          <w:bCs w:val="0"/>
          <w:color w:val="auto"/>
          <w:kern w:val="2"/>
          <w:sz w:val="32"/>
          <w:szCs w:val="32"/>
          <w:lang w:bidi="ar-SA"/>
        </w:rPr>
        <w:t>项目预算资金121.00万元已于2024年3月5日到账，并截至2024年10月28日全部支付完毕。该资金主要用于支付环卫人员工资、北环路旧路灯拆除的人工费用、绛帐镇镇区园林绿化的病虫害防治费用、镇区树木修剪费用，以及城建站车辆的维修、燃油、保险等费用。项目全年目标任务已基本完成，群众满意度</w:t>
      </w:r>
      <w:r>
        <w:rPr>
          <w:rFonts w:hint="eastAsia" w:ascii="仿宋_GB2312" w:hAnsi="仿宋_GB2312" w:eastAsia="仿宋_GB2312" w:cs="仿宋_GB2312"/>
          <w:b w:val="0"/>
          <w:bCs w:val="0"/>
          <w:color w:val="auto"/>
          <w:kern w:val="2"/>
          <w:sz w:val="32"/>
          <w:szCs w:val="32"/>
          <w:lang w:val="en-US" w:eastAsia="zh-CN" w:bidi="ar-SA"/>
        </w:rPr>
        <w:t>高</w:t>
      </w:r>
      <w:r>
        <w:rPr>
          <w:rFonts w:ascii="仿宋_GB2312" w:hAnsi="仿宋_GB2312" w:eastAsia="仿宋_GB2312" w:cs="仿宋_GB2312"/>
          <w:b w:val="0"/>
          <w:bCs w:val="0"/>
          <w:color w:val="auto"/>
          <w:kern w:val="2"/>
          <w:sz w:val="32"/>
          <w:szCs w:val="32"/>
          <w:lang w:bidi="ar-SA"/>
        </w:rPr>
        <w:t>。项目主要绩效目标的完成情况详见表4。</w:t>
      </w:r>
    </w:p>
    <w:p w14:paraId="1834566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highlight w:val="none"/>
          <w:lang w:val="en-US" w:eastAsia="zh-CN" w:bidi="ar-SA"/>
        </w:rPr>
        <w:t xml:space="preserve">表4 </w:t>
      </w:r>
      <w:r>
        <w:rPr>
          <w:rFonts w:hint="eastAsia" w:ascii="仿宋_GB2312" w:hAnsi="仿宋_GB2312" w:eastAsia="仿宋_GB2312" w:cs="仿宋_GB2312"/>
          <w:b/>
          <w:bCs/>
          <w:sz w:val="28"/>
          <w:szCs w:val="28"/>
          <w:lang w:val="en-US" w:eastAsia="zh-CN"/>
        </w:rPr>
        <w:t xml:space="preserve"> 项目</w:t>
      </w:r>
      <w:r>
        <w:rPr>
          <w:rFonts w:hint="eastAsia" w:ascii="仿宋_GB2312" w:hAnsi="仿宋_GB2312" w:eastAsia="仿宋_GB2312" w:cs="仿宋_GB2312"/>
          <w:b/>
          <w:bCs/>
          <w:color w:val="auto"/>
          <w:sz w:val="28"/>
          <w:szCs w:val="28"/>
          <w:lang w:val="en-US" w:eastAsia="zh-CN"/>
        </w:rPr>
        <w:t>绩效目标任务完成情况表</w:t>
      </w:r>
    </w:p>
    <w:tbl>
      <w:tblPr>
        <w:tblStyle w:val="1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529"/>
        <w:gridCol w:w="2872"/>
        <w:gridCol w:w="1288"/>
        <w:gridCol w:w="1670"/>
        <w:gridCol w:w="654"/>
      </w:tblGrid>
      <w:tr w14:paraId="223F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jc w:val="center"/>
        </w:trPr>
        <w:tc>
          <w:tcPr>
            <w:tcW w:w="1084" w:type="dxa"/>
            <w:vMerge w:val="restart"/>
            <w:tcBorders>
              <w:left w:val="nil"/>
            </w:tcBorders>
            <w:shd w:val="clear" w:color="auto" w:fill="D7D7D7"/>
            <w:noWrap w:val="0"/>
            <w:vAlign w:val="center"/>
          </w:tcPr>
          <w:p w14:paraId="54BF625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一级指标</w:t>
            </w:r>
          </w:p>
        </w:tc>
        <w:tc>
          <w:tcPr>
            <w:tcW w:w="1529" w:type="dxa"/>
            <w:vMerge w:val="restart"/>
            <w:shd w:val="clear" w:color="auto" w:fill="D7D7D7"/>
            <w:noWrap w:val="0"/>
            <w:vAlign w:val="center"/>
          </w:tcPr>
          <w:p w14:paraId="63368F8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二级指标</w:t>
            </w:r>
          </w:p>
        </w:tc>
        <w:tc>
          <w:tcPr>
            <w:tcW w:w="2872" w:type="dxa"/>
            <w:vMerge w:val="restart"/>
            <w:shd w:val="clear" w:color="auto" w:fill="D7D7D7"/>
            <w:noWrap w:val="0"/>
            <w:vAlign w:val="center"/>
          </w:tcPr>
          <w:p w14:paraId="18D3F68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三级指标</w:t>
            </w:r>
          </w:p>
        </w:tc>
        <w:tc>
          <w:tcPr>
            <w:tcW w:w="1288" w:type="dxa"/>
            <w:vMerge w:val="restart"/>
            <w:shd w:val="clear" w:color="auto" w:fill="D7D7D7"/>
            <w:noWrap w:val="0"/>
            <w:vAlign w:val="center"/>
          </w:tcPr>
          <w:p w14:paraId="3A65916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目标值</w:t>
            </w:r>
          </w:p>
        </w:tc>
        <w:tc>
          <w:tcPr>
            <w:tcW w:w="1670" w:type="dxa"/>
            <w:vMerge w:val="restart"/>
            <w:shd w:val="clear" w:color="auto" w:fill="D7D7D7"/>
            <w:noWrap w:val="0"/>
            <w:vAlign w:val="center"/>
          </w:tcPr>
          <w:p w14:paraId="1BBF8A1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完成值</w:t>
            </w:r>
          </w:p>
        </w:tc>
        <w:tc>
          <w:tcPr>
            <w:tcW w:w="654" w:type="dxa"/>
            <w:vMerge w:val="restart"/>
            <w:tcBorders>
              <w:right w:val="nil"/>
            </w:tcBorders>
            <w:shd w:val="clear" w:color="auto" w:fill="D7D7D7"/>
            <w:noWrap w:val="0"/>
            <w:vAlign w:val="center"/>
          </w:tcPr>
          <w:p w14:paraId="7E78886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完成情况</w:t>
            </w:r>
          </w:p>
        </w:tc>
      </w:tr>
      <w:tr w14:paraId="1EF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blHeader/>
          <w:jc w:val="center"/>
        </w:trPr>
        <w:tc>
          <w:tcPr>
            <w:tcW w:w="1084" w:type="dxa"/>
            <w:vMerge w:val="continue"/>
            <w:tcBorders>
              <w:left w:val="nil"/>
            </w:tcBorders>
            <w:shd w:val="clear" w:color="auto" w:fill="D7D7D7"/>
            <w:noWrap w:val="0"/>
            <w:vAlign w:val="center"/>
          </w:tcPr>
          <w:p w14:paraId="7C67807C">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529" w:type="dxa"/>
            <w:vMerge w:val="continue"/>
            <w:shd w:val="clear" w:color="auto" w:fill="D7D7D7"/>
            <w:noWrap w:val="0"/>
            <w:vAlign w:val="center"/>
          </w:tcPr>
          <w:p w14:paraId="1A44953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872" w:type="dxa"/>
            <w:vMerge w:val="continue"/>
            <w:shd w:val="clear" w:color="auto" w:fill="D7D7D7"/>
            <w:noWrap w:val="0"/>
            <w:vAlign w:val="center"/>
          </w:tcPr>
          <w:p w14:paraId="1D597C47">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288" w:type="dxa"/>
            <w:vMerge w:val="continue"/>
            <w:shd w:val="clear" w:color="auto" w:fill="D7D7D7"/>
            <w:noWrap w:val="0"/>
            <w:vAlign w:val="center"/>
          </w:tcPr>
          <w:p w14:paraId="46E7FEC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670" w:type="dxa"/>
            <w:vMerge w:val="continue"/>
            <w:shd w:val="clear" w:color="auto" w:fill="D7D7D7"/>
            <w:noWrap w:val="0"/>
            <w:vAlign w:val="center"/>
          </w:tcPr>
          <w:p w14:paraId="3A81DC6E">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654" w:type="dxa"/>
            <w:vMerge w:val="continue"/>
            <w:tcBorders>
              <w:right w:val="nil"/>
            </w:tcBorders>
            <w:shd w:val="clear" w:color="auto" w:fill="D7D7D7"/>
            <w:noWrap w:val="0"/>
            <w:vAlign w:val="center"/>
          </w:tcPr>
          <w:p w14:paraId="6CA412B6">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57D3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84" w:type="dxa"/>
            <w:tcBorders>
              <w:left w:val="nil"/>
            </w:tcBorders>
            <w:shd w:val="clear" w:color="auto" w:fill="auto"/>
            <w:noWrap w:val="0"/>
            <w:vAlign w:val="center"/>
          </w:tcPr>
          <w:p w14:paraId="1B76584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成本指标</w:t>
            </w:r>
          </w:p>
        </w:tc>
        <w:tc>
          <w:tcPr>
            <w:tcW w:w="1529" w:type="dxa"/>
            <w:shd w:val="clear" w:color="auto" w:fill="auto"/>
            <w:noWrap w:val="0"/>
            <w:vAlign w:val="center"/>
          </w:tcPr>
          <w:p w14:paraId="1E0ED1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经济成本指标</w:t>
            </w:r>
          </w:p>
        </w:tc>
        <w:tc>
          <w:tcPr>
            <w:tcW w:w="2872" w:type="dxa"/>
            <w:shd w:val="clear" w:color="auto" w:fill="auto"/>
            <w:noWrap w:val="0"/>
            <w:vAlign w:val="center"/>
          </w:tcPr>
          <w:p w14:paraId="36838C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项目投入资金总额（万元）</w:t>
            </w:r>
          </w:p>
        </w:tc>
        <w:tc>
          <w:tcPr>
            <w:tcW w:w="1288" w:type="dxa"/>
            <w:shd w:val="clear" w:color="auto" w:fill="auto"/>
            <w:noWrap w:val="0"/>
            <w:vAlign w:val="center"/>
          </w:tcPr>
          <w:p w14:paraId="5A9BD452">
            <w:pPr>
              <w:pStyle w:val="9"/>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17"/>
                <w:sz w:val="21"/>
                <w:szCs w:val="21"/>
                <w:highlight w:val="none"/>
                <w:vertAlign w:val="baseline"/>
                <w:lang w:val="en-US" w:eastAsia="zh-CN"/>
              </w:rPr>
              <w:t>≤121.00</w:t>
            </w:r>
          </w:p>
        </w:tc>
        <w:tc>
          <w:tcPr>
            <w:tcW w:w="1670" w:type="dxa"/>
            <w:shd w:val="clear" w:color="auto" w:fill="auto"/>
            <w:noWrap w:val="0"/>
            <w:vAlign w:val="center"/>
          </w:tcPr>
          <w:p w14:paraId="1639AF60">
            <w:pPr>
              <w:pStyle w:val="9"/>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color w:val="000000"/>
                <w:spacing w:val="-6"/>
                <w:kern w:val="2"/>
                <w:sz w:val="21"/>
                <w:szCs w:val="21"/>
                <w:highlight w:val="none"/>
                <w:lang w:val="en-US" w:eastAsia="zh-CN" w:bidi="ar-SA"/>
              </w:rPr>
            </w:pPr>
            <w:r>
              <w:rPr>
                <w:rFonts w:hint="eastAsia" w:ascii="仿宋_GB2312" w:hAnsi="仿宋_GB2312" w:eastAsia="仿宋_GB2312" w:cs="仿宋_GB2312"/>
                <w:color w:val="auto"/>
                <w:spacing w:val="-17"/>
                <w:sz w:val="21"/>
                <w:szCs w:val="21"/>
                <w:highlight w:val="none"/>
                <w:vertAlign w:val="baseline"/>
                <w:lang w:val="en-US" w:eastAsia="zh-CN"/>
              </w:rPr>
              <w:t>121.00</w:t>
            </w:r>
          </w:p>
        </w:tc>
        <w:tc>
          <w:tcPr>
            <w:tcW w:w="654" w:type="dxa"/>
            <w:tcBorders>
              <w:right w:val="nil"/>
            </w:tcBorders>
            <w:noWrap w:val="0"/>
            <w:vAlign w:val="center"/>
          </w:tcPr>
          <w:p w14:paraId="597B6C7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40E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84" w:type="dxa"/>
            <w:vMerge w:val="restart"/>
            <w:tcBorders>
              <w:left w:val="nil"/>
            </w:tcBorders>
            <w:noWrap w:val="0"/>
            <w:vAlign w:val="center"/>
          </w:tcPr>
          <w:p w14:paraId="2E5E1B1E">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产出指标</w:t>
            </w:r>
          </w:p>
        </w:tc>
        <w:tc>
          <w:tcPr>
            <w:tcW w:w="1529" w:type="dxa"/>
            <w:noWrap w:val="0"/>
            <w:vAlign w:val="center"/>
          </w:tcPr>
          <w:p w14:paraId="276CF65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数量指标</w:t>
            </w:r>
          </w:p>
        </w:tc>
        <w:tc>
          <w:tcPr>
            <w:tcW w:w="2872" w:type="dxa"/>
            <w:noWrap w:val="0"/>
            <w:vAlign w:val="center"/>
          </w:tcPr>
          <w:p w14:paraId="374F2A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年度镇区及园区环境卫生</w:t>
            </w:r>
          </w:p>
          <w:p w14:paraId="50BEF2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color w:val="auto"/>
                <w:spacing w:val="-6"/>
                <w:kern w:val="2"/>
                <w:sz w:val="21"/>
                <w:szCs w:val="21"/>
                <w:highlight w:val="none"/>
                <w:vertAlign w:val="baseline"/>
                <w:lang w:val="en-US" w:eastAsia="zh-CN" w:bidi="ar-SA"/>
              </w:rPr>
              <w:t>整洁天数</w:t>
            </w:r>
          </w:p>
        </w:tc>
        <w:tc>
          <w:tcPr>
            <w:tcW w:w="1288" w:type="dxa"/>
            <w:noWrap w:val="0"/>
            <w:vAlign w:val="center"/>
          </w:tcPr>
          <w:p w14:paraId="203C43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≥300天</w:t>
            </w:r>
          </w:p>
        </w:tc>
        <w:tc>
          <w:tcPr>
            <w:tcW w:w="1670" w:type="dxa"/>
            <w:noWrap w:val="0"/>
            <w:vAlign w:val="center"/>
          </w:tcPr>
          <w:p w14:paraId="3E49F7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300天</w:t>
            </w:r>
          </w:p>
        </w:tc>
        <w:tc>
          <w:tcPr>
            <w:tcW w:w="654" w:type="dxa"/>
            <w:tcBorders>
              <w:right w:val="nil"/>
            </w:tcBorders>
            <w:noWrap w:val="0"/>
            <w:vAlign w:val="center"/>
          </w:tcPr>
          <w:p w14:paraId="6BFE97E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AA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4" w:type="dxa"/>
            <w:vMerge w:val="continue"/>
            <w:tcBorders>
              <w:left w:val="nil"/>
            </w:tcBorders>
            <w:noWrap w:val="0"/>
            <w:vAlign w:val="center"/>
          </w:tcPr>
          <w:p w14:paraId="781C312D">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noWrap w:val="0"/>
            <w:vAlign w:val="center"/>
          </w:tcPr>
          <w:p w14:paraId="291E1AB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质量指标</w:t>
            </w:r>
          </w:p>
        </w:tc>
        <w:tc>
          <w:tcPr>
            <w:tcW w:w="2872" w:type="dxa"/>
            <w:noWrap w:val="0"/>
            <w:vAlign w:val="center"/>
          </w:tcPr>
          <w:p w14:paraId="7D27656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年度镇区及园区环境卫生</w:t>
            </w:r>
          </w:p>
          <w:p w14:paraId="4CF0C772">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整洁率</w:t>
            </w:r>
          </w:p>
        </w:tc>
        <w:tc>
          <w:tcPr>
            <w:tcW w:w="1288" w:type="dxa"/>
            <w:noWrap w:val="0"/>
            <w:vAlign w:val="center"/>
          </w:tcPr>
          <w:p w14:paraId="3612DBEE">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≥90%</w:t>
            </w:r>
          </w:p>
        </w:tc>
        <w:tc>
          <w:tcPr>
            <w:tcW w:w="1670" w:type="dxa"/>
            <w:noWrap w:val="0"/>
            <w:vAlign w:val="center"/>
          </w:tcPr>
          <w:p w14:paraId="5F3C84DC">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90%</w:t>
            </w:r>
          </w:p>
        </w:tc>
        <w:tc>
          <w:tcPr>
            <w:tcW w:w="654" w:type="dxa"/>
            <w:tcBorders>
              <w:right w:val="nil"/>
            </w:tcBorders>
            <w:noWrap w:val="0"/>
            <w:vAlign w:val="center"/>
          </w:tcPr>
          <w:p w14:paraId="0CB8005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259A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84" w:type="dxa"/>
            <w:vMerge w:val="continue"/>
            <w:tcBorders>
              <w:left w:val="nil"/>
            </w:tcBorders>
            <w:noWrap w:val="0"/>
            <w:vAlign w:val="center"/>
          </w:tcPr>
          <w:p w14:paraId="2958FCC3">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noWrap w:val="0"/>
            <w:vAlign w:val="center"/>
          </w:tcPr>
          <w:p w14:paraId="382A1C4B">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时效指标</w:t>
            </w:r>
          </w:p>
        </w:tc>
        <w:tc>
          <w:tcPr>
            <w:tcW w:w="2872" w:type="dxa"/>
            <w:shd w:val="clear" w:color="auto" w:fill="auto"/>
            <w:noWrap w:val="0"/>
            <w:vAlign w:val="center"/>
          </w:tcPr>
          <w:p w14:paraId="20DDF4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年度镇区及园区环境周边垃圾清运及时率</w:t>
            </w:r>
          </w:p>
        </w:tc>
        <w:tc>
          <w:tcPr>
            <w:tcW w:w="1288" w:type="dxa"/>
            <w:shd w:val="clear" w:color="auto" w:fill="auto"/>
            <w:noWrap w:val="0"/>
            <w:vAlign w:val="center"/>
          </w:tcPr>
          <w:p w14:paraId="6C0D265B">
            <w:pPr>
              <w:keepNext w:val="0"/>
              <w:keepLines w:val="0"/>
              <w:widowControl/>
              <w:suppressLineNumbers w:val="0"/>
              <w:jc w:val="center"/>
              <w:textAlignment w:val="center"/>
              <w:rPr>
                <w:rFonts w:hint="default" w:ascii="仿宋_GB2312" w:hAnsi="仿宋_GB2312" w:eastAsia="仿宋_GB2312" w:cs="仿宋_GB2312"/>
                <w:i w:val="0"/>
                <w:iCs w:val="0"/>
                <w:color w:val="000000"/>
                <w:spacing w:val="-11"/>
                <w:kern w:val="0"/>
                <w:sz w:val="21"/>
                <w:szCs w:val="21"/>
                <w:u w:val="none"/>
                <w:lang w:val="en-US" w:eastAsia="zh-CN" w:bidi="ar"/>
              </w:rPr>
            </w:pPr>
            <w:r>
              <w:rPr>
                <w:rFonts w:hint="eastAsia" w:ascii="仿宋_GB2312" w:hAnsi="仿宋_GB2312" w:eastAsia="仿宋_GB2312" w:cs="仿宋_GB2312"/>
                <w:color w:val="auto"/>
                <w:kern w:val="2"/>
                <w:sz w:val="21"/>
                <w:szCs w:val="21"/>
                <w:highlight w:val="none"/>
                <w:vertAlign w:val="baseline"/>
                <w:lang w:val="en-US" w:eastAsia="zh-CN" w:bidi="ar-SA"/>
              </w:rPr>
              <w:t>≥90%</w:t>
            </w:r>
          </w:p>
        </w:tc>
        <w:tc>
          <w:tcPr>
            <w:tcW w:w="1670" w:type="dxa"/>
            <w:shd w:val="clear" w:color="auto" w:fill="auto"/>
            <w:noWrap w:val="0"/>
            <w:vAlign w:val="center"/>
          </w:tcPr>
          <w:p w14:paraId="49C32845">
            <w:pPr>
              <w:keepNext w:val="0"/>
              <w:keepLines w:val="0"/>
              <w:widowControl/>
              <w:suppressLineNumbers w:val="0"/>
              <w:jc w:val="center"/>
              <w:textAlignment w:val="center"/>
              <w:rPr>
                <w:rFonts w:hint="default" w:ascii="仿宋_GB2312" w:hAnsi="仿宋_GB2312" w:eastAsia="仿宋_GB2312" w:cs="仿宋_GB2312"/>
                <w:i w:val="0"/>
                <w:iCs w:val="0"/>
                <w:color w:val="000000"/>
                <w:spacing w:val="-11"/>
                <w:kern w:val="0"/>
                <w:sz w:val="21"/>
                <w:szCs w:val="21"/>
                <w:u w:val="none"/>
                <w:lang w:val="en-US" w:eastAsia="zh-CN" w:bidi="ar"/>
              </w:rPr>
            </w:pPr>
            <w:r>
              <w:rPr>
                <w:rFonts w:hint="eastAsia" w:ascii="仿宋_GB2312" w:hAnsi="仿宋_GB2312" w:eastAsia="仿宋_GB2312" w:cs="仿宋_GB2312"/>
                <w:i w:val="0"/>
                <w:iCs w:val="0"/>
                <w:color w:val="000000"/>
                <w:spacing w:val="-11"/>
                <w:kern w:val="0"/>
                <w:sz w:val="21"/>
                <w:szCs w:val="21"/>
                <w:u w:val="none"/>
                <w:lang w:val="en-US" w:eastAsia="zh-CN" w:bidi="ar"/>
              </w:rPr>
              <w:t>90%</w:t>
            </w:r>
          </w:p>
        </w:tc>
        <w:tc>
          <w:tcPr>
            <w:tcW w:w="654" w:type="dxa"/>
            <w:tcBorders>
              <w:right w:val="nil"/>
            </w:tcBorders>
            <w:noWrap w:val="0"/>
            <w:vAlign w:val="center"/>
          </w:tcPr>
          <w:p w14:paraId="0C56B3C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95F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4" w:type="dxa"/>
            <w:vMerge w:val="continue"/>
            <w:tcBorders>
              <w:left w:val="nil"/>
            </w:tcBorders>
            <w:noWrap w:val="0"/>
            <w:vAlign w:val="center"/>
          </w:tcPr>
          <w:p w14:paraId="3716CA52">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vMerge w:val="restart"/>
            <w:noWrap w:val="0"/>
            <w:vAlign w:val="center"/>
          </w:tcPr>
          <w:p w14:paraId="4B3ACE9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社会效益指标</w:t>
            </w:r>
          </w:p>
        </w:tc>
        <w:tc>
          <w:tcPr>
            <w:tcW w:w="2872" w:type="dxa"/>
            <w:tcBorders>
              <w:top w:val="single" w:color="000000" w:sz="4" w:space="0"/>
              <w:bottom w:val="single" w:color="000000" w:sz="4" w:space="0"/>
            </w:tcBorders>
            <w:noWrap w:val="0"/>
            <w:vAlign w:val="center"/>
          </w:tcPr>
          <w:p w14:paraId="459431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改善区域内环境卫生状况</w:t>
            </w:r>
          </w:p>
        </w:tc>
        <w:tc>
          <w:tcPr>
            <w:tcW w:w="1288" w:type="dxa"/>
            <w:noWrap w:val="0"/>
            <w:vAlign w:val="center"/>
          </w:tcPr>
          <w:p w14:paraId="1DBA67A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70" w:type="dxa"/>
            <w:noWrap w:val="0"/>
            <w:vAlign w:val="center"/>
          </w:tcPr>
          <w:p w14:paraId="57BFAC6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79DEBE5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4A9B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4" w:type="dxa"/>
            <w:vMerge w:val="continue"/>
            <w:tcBorders>
              <w:left w:val="nil"/>
            </w:tcBorders>
            <w:noWrap w:val="0"/>
            <w:vAlign w:val="center"/>
          </w:tcPr>
          <w:p w14:paraId="271AC5B6">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vMerge w:val="continue"/>
            <w:noWrap w:val="0"/>
            <w:vAlign w:val="center"/>
          </w:tcPr>
          <w:p w14:paraId="71C5A235">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72" w:type="dxa"/>
            <w:tcBorders>
              <w:top w:val="single" w:color="000000" w:sz="4" w:space="0"/>
              <w:bottom w:val="single" w:color="000000" w:sz="4" w:space="0"/>
            </w:tcBorders>
            <w:noWrap w:val="0"/>
            <w:vAlign w:val="center"/>
          </w:tcPr>
          <w:p w14:paraId="377B5B5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提升镇区形象情况</w:t>
            </w:r>
          </w:p>
        </w:tc>
        <w:tc>
          <w:tcPr>
            <w:tcW w:w="1288" w:type="dxa"/>
            <w:noWrap w:val="0"/>
            <w:vAlign w:val="center"/>
          </w:tcPr>
          <w:p w14:paraId="195630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70" w:type="dxa"/>
            <w:noWrap w:val="0"/>
            <w:vAlign w:val="center"/>
          </w:tcPr>
          <w:p w14:paraId="727CA2D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7903063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515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84" w:type="dxa"/>
            <w:vMerge w:val="continue"/>
            <w:tcBorders>
              <w:left w:val="nil"/>
            </w:tcBorders>
            <w:noWrap w:val="0"/>
            <w:vAlign w:val="center"/>
          </w:tcPr>
          <w:p w14:paraId="1F4352D4">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vMerge w:val="continue"/>
            <w:noWrap w:val="0"/>
            <w:vAlign w:val="center"/>
          </w:tcPr>
          <w:p w14:paraId="759D573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2872" w:type="dxa"/>
            <w:tcBorders>
              <w:top w:val="single" w:color="000000" w:sz="4" w:space="0"/>
              <w:bottom w:val="single" w:color="000000" w:sz="4" w:space="0"/>
            </w:tcBorders>
            <w:noWrap w:val="0"/>
            <w:vAlign w:val="center"/>
          </w:tcPr>
          <w:p w14:paraId="2B2431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促进区域经济社会高质量发展情况</w:t>
            </w:r>
          </w:p>
        </w:tc>
        <w:tc>
          <w:tcPr>
            <w:tcW w:w="1288" w:type="dxa"/>
            <w:noWrap w:val="0"/>
            <w:vAlign w:val="center"/>
          </w:tcPr>
          <w:p w14:paraId="0B28641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green"/>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70" w:type="dxa"/>
            <w:noWrap w:val="0"/>
            <w:vAlign w:val="center"/>
          </w:tcPr>
          <w:p w14:paraId="1DA296B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2CE932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773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84" w:type="dxa"/>
            <w:vMerge w:val="continue"/>
            <w:tcBorders>
              <w:left w:val="nil"/>
            </w:tcBorders>
            <w:noWrap w:val="0"/>
            <w:vAlign w:val="center"/>
          </w:tcPr>
          <w:p w14:paraId="3CF38751">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noWrap w:val="0"/>
            <w:vAlign w:val="center"/>
          </w:tcPr>
          <w:p w14:paraId="01E76893">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生态效益指标</w:t>
            </w:r>
          </w:p>
        </w:tc>
        <w:tc>
          <w:tcPr>
            <w:tcW w:w="2872" w:type="dxa"/>
            <w:tcBorders>
              <w:top w:val="single" w:color="000000" w:sz="4" w:space="0"/>
              <w:bottom w:val="single" w:color="000000" w:sz="4" w:space="0"/>
            </w:tcBorders>
            <w:shd w:val="clear" w:color="auto" w:fill="auto"/>
            <w:noWrap w:val="0"/>
            <w:vAlign w:val="center"/>
          </w:tcPr>
          <w:p w14:paraId="6A98AB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生态效益</w:t>
            </w:r>
          </w:p>
        </w:tc>
        <w:tc>
          <w:tcPr>
            <w:tcW w:w="1288" w:type="dxa"/>
            <w:noWrap w:val="0"/>
            <w:vAlign w:val="center"/>
          </w:tcPr>
          <w:p w14:paraId="1453BAC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1670" w:type="dxa"/>
            <w:noWrap w:val="0"/>
            <w:vAlign w:val="center"/>
          </w:tcPr>
          <w:p w14:paraId="19F8FDD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明显</w:t>
            </w:r>
          </w:p>
        </w:tc>
        <w:tc>
          <w:tcPr>
            <w:tcW w:w="654" w:type="dxa"/>
            <w:tcBorders>
              <w:right w:val="nil"/>
            </w:tcBorders>
            <w:noWrap w:val="0"/>
            <w:vAlign w:val="center"/>
          </w:tcPr>
          <w:p w14:paraId="4FDBB6E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none"/>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F32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84" w:type="dxa"/>
            <w:vMerge w:val="continue"/>
            <w:tcBorders>
              <w:left w:val="nil"/>
            </w:tcBorders>
            <w:noWrap w:val="0"/>
            <w:vAlign w:val="center"/>
          </w:tcPr>
          <w:p w14:paraId="07F97A47">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noWrap w:val="0"/>
            <w:vAlign w:val="center"/>
          </w:tcPr>
          <w:p w14:paraId="7AA5FB3D">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可持续影响指标</w:t>
            </w:r>
          </w:p>
        </w:tc>
        <w:tc>
          <w:tcPr>
            <w:tcW w:w="2872" w:type="dxa"/>
            <w:tcBorders>
              <w:top w:val="single" w:color="000000" w:sz="4" w:space="0"/>
              <w:bottom w:val="single" w:color="000000" w:sz="4" w:space="0"/>
            </w:tcBorders>
            <w:shd w:val="clear" w:color="auto" w:fill="auto"/>
            <w:noWrap w:val="0"/>
            <w:vAlign w:val="center"/>
          </w:tcPr>
          <w:p w14:paraId="260A67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项目长效运管及可持续</w:t>
            </w:r>
          </w:p>
          <w:p w14:paraId="1D3D88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spacing w:val="-6"/>
                <w:kern w:val="2"/>
                <w:sz w:val="21"/>
                <w:szCs w:val="21"/>
                <w:highlight w:val="none"/>
                <w:vertAlign w:val="baseline"/>
                <w:lang w:val="en-US" w:eastAsia="zh-CN" w:bidi="ar-SA"/>
              </w:rPr>
            </w:pPr>
            <w:r>
              <w:rPr>
                <w:rFonts w:hint="eastAsia" w:ascii="仿宋_GB2312" w:hAnsi="仿宋_GB2312" w:eastAsia="仿宋_GB2312" w:cs="仿宋_GB2312"/>
                <w:color w:val="auto"/>
                <w:spacing w:val="-6"/>
                <w:kern w:val="2"/>
                <w:sz w:val="21"/>
                <w:szCs w:val="21"/>
                <w:highlight w:val="none"/>
                <w:vertAlign w:val="baseline"/>
                <w:lang w:val="en-US" w:eastAsia="zh-CN" w:bidi="ar-SA"/>
              </w:rPr>
              <w:t>发展情况</w:t>
            </w:r>
          </w:p>
        </w:tc>
        <w:tc>
          <w:tcPr>
            <w:tcW w:w="1288" w:type="dxa"/>
            <w:noWrap w:val="0"/>
            <w:vAlign w:val="center"/>
          </w:tcPr>
          <w:p w14:paraId="0B59F49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良好</w:t>
            </w:r>
          </w:p>
        </w:tc>
        <w:tc>
          <w:tcPr>
            <w:tcW w:w="1670" w:type="dxa"/>
            <w:noWrap w:val="0"/>
            <w:vAlign w:val="center"/>
          </w:tcPr>
          <w:p w14:paraId="6F75B12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良好</w:t>
            </w:r>
          </w:p>
        </w:tc>
        <w:tc>
          <w:tcPr>
            <w:tcW w:w="654" w:type="dxa"/>
            <w:tcBorders>
              <w:right w:val="nil"/>
            </w:tcBorders>
            <w:noWrap w:val="0"/>
            <w:vAlign w:val="center"/>
          </w:tcPr>
          <w:p w14:paraId="4360021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r w14:paraId="36CE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84" w:type="dxa"/>
            <w:vMerge w:val="continue"/>
            <w:tcBorders>
              <w:left w:val="nil"/>
            </w:tcBorders>
            <w:noWrap w:val="0"/>
            <w:vAlign w:val="center"/>
          </w:tcPr>
          <w:p w14:paraId="0734A0BA">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p>
        </w:tc>
        <w:tc>
          <w:tcPr>
            <w:tcW w:w="1529" w:type="dxa"/>
            <w:noWrap w:val="0"/>
            <w:vAlign w:val="center"/>
          </w:tcPr>
          <w:p w14:paraId="560A5A7F">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2872" w:type="dxa"/>
            <w:tcBorders>
              <w:top w:val="single" w:color="000000" w:sz="4" w:space="0"/>
            </w:tcBorders>
            <w:noWrap w:val="0"/>
            <w:vAlign w:val="center"/>
          </w:tcPr>
          <w:p w14:paraId="73D34A09">
            <w:pPr>
              <w:pStyle w:val="9"/>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服务对象（项目受益人）认可程度</w:t>
            </w:r>
          </w:p>
        </w:tc>
        <w:tc>
          <w:tcPr>
            <w:tcW w:w="1288" w:type="dxa"/>
            <w:noWrap w:val="0"/>
            <w:vAlign w:val="center"/>
          </w:tcPr>
          <w:p w14:paraId="7CF2977A">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≥90%</w:t>
            </w:r>
          </w:p>
        </w:tc>
        <w:tc>
          <w:tcPr>
            <w:tcW w:w="1670" w:type="dxa"/>
            <w:noWrap w:val="0"/>
            <w:vAlign w:val="center"/>
          </w:tcPr>
          <w:p w14:paraId="5F7B9579">
            <w:pPr>
              <w:pStyle w:val="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000000" w:themeColor="text1"/>
                <w:kern w:val="2"/>
                <w:sz w:val="21"/>
                <w:szCs w:val="21"/>
                <w:highlight w:val="none"/>
                <w:vertAlign w:val="baseline"/>
                <w:lang w:val="en-US" w:eastAsia="zh-CN" w:bidi="ar-SA"/>
                <w14:textFill>
                  <w14:solidFill>
                    <w14:schemeClr w14:val="tx1"/>
                  </w14:solidFill>
                </w14:textFill>
              </w:rPr>
              <w:t>91.70%</w:t>
            </w:r>
          </w:p>
        </w:tc>
        <w:tc>
          <w:tcPr>
            <w:tcW w:w="654" w:type="dxa"/>
            <w:tcBorders>
              <w:right w:val="nil"/>
            </w:tcBorders>
            <w:noWrap w:val="0"/>
            <w:vAlign w:val="center"/>
          </w:tcPr>
          <w:p w14:paraId="40973EE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auto"/>
                <w:kern w:val="2"/>
                <w:sz w:val="21"/>
                <w:szCs w:val="21"/>
                <w:highlight w:val="green"/>
                <w:vertAlign w:val="baseline"/>
                <w:lang w:val="en-US" w:eastAsia="zh-CN" w:bidi="ar-SA"/>
              </w:rPr>
            </w:pPr>
            <w:r>
              <w:rPr>
                <w:rFonts w:hint="eastAsia" w:ascii="仿宋_GB2312" w:hAnsi="仿宋_GB2312" w:eastAsia="仿宋_GB2312" w:cs="仿宋_GB2312"/>
                <w:b/>
                <w:bCs/>
                <w:color w:val="auto"/>
                <w:kern w:val="2"/>
                <w:sz w:val="21"/>
                <w:szCs w:val="21"/>
                <w:highlight w:val="none"/>
                <w:vertAlign w:val="baseline"/>
                <w:lang w:val="en-US" w:eastAsia="zh-CN" w:bidi="ar-SA"/>
              </w:rPr>
              <w:t>√</w:t>
            </w:r>
          </w:p>
        </w:tc>
      </w:tr>
    </w:tbl>
    <w:p w14:paraId="02431445">
      <w:pPr>
        <w:keepNext w:val="0"/>
        <w:keepLines w:val="0"/>
        <w:pageBreakBefore w:val="0"/>
        <w:widowControl w:val="0"/>
        <w:kinsoku/>
        <w:wordWrap/>
        <w:overflowPunct/>
        <w:topLinePunct w:val="0"/>
        <w:autoSpaceDE/>
        <w:autoSpaceDN/>
        <w:bidi w:val="0"/>
        <w:adjustRightInd/>
        <w:snapToGrid/>
        <w:spacing w:line="480" w:lineRule="exact"/>
        <w:ind w:left="0" w:leftChars="0" w:firstLine="486" w:firstLineChars="200"/>
        <w:jc w:val="both"/>
        <w:textAlignment w:val="auto"/>
        <w:rPr>
          <w:rFonts w:hint="default" w:ascii="楷体" w:hAnsi="楷体" w:eastAsia="楷体" w:cs="楷体"/>
          <w:w w:val="90"/>
          <w:kern w:val="2"/>
          <w:sz w:val="20"/>
          <w:szCs w:val="20"/>
          <w:vertAlign w:val="baseline"/>
          <w:lang w:val="en-US" w:eastAsia="zh-CN" w:bidi="ar-SA"/>
        </w:rPr>
      </w:pPr>
      <w:r>
        <w:rPr>
          <w:rFonts w:hint="eastAsia" w:ascii="楷体" w:hAnsi="楷体" w:eastAsia="楷体" w:cs="楷体"/>
          <w:color w:val="auto"/>
          <w:kern w:val="2"/>
          <w:sz w:val="24"/>
          <w:szCs w:val="24"/>
          <w:highlight w:val="none"/>
          <w:lang w:val="en-US" w:eastAsia="zh-CN" w:bidi="ar-SA"/>
        </w:rPr>
        <w:t>（注：此</w:t>
      </w:r>
      <w:r>
        <w:rPr>
          <w:rFonts w:hint="eastAsia" w:ascii="楷体" w:hAnsi="楷体" w:eastAsia="楷体" w:cs="楷体"/>
          <w:color w:val="auto"/>
          <w:sz w:val="24"/>
          <w:szCs w:val="24"/>
          <w:highlight w:val="none"/>
          <w:lang w:val="en-US" w:eastAsia="zh-CN"/>
        </w:rPr>
        <w:t>表中部分指标是评价组根据项目单位提供有关资料、评价组收集到的相关资料以及本次评价检查情况而调整的绩效目标及其完成值</w:t>
      </w:r>
      <w:r>
        <w:rPr>
          <w:rFonts w:ascii="楷体" w:hAnsi="楷体" w:eastAsia="楷体" w:cs="楷体"/>
          <w:color w:val="auto"/>
          <w:kern w:val="2"/>
          <w:sz w:val="24"/>
          <w:szCs w:val="24"/>
          <w:lang w:bidi="ar-SA"/>
        </w:rPr>
        <w:t>。</w:t>
      </w:r>
      <w:r>
        <w:rPr>
          <w:rFonts w:hint="eastAsia" w:ascii="楷体" w:hAnsi="楷体" w:eastAsia="楷体" w:cs="楷体"/>
          <w:color w:val="auto"/>
          <w:kern w:val="2"/>
          <w:sz w:val="24"/>
          <w:szCs w:val="24"/>
          <w:highlight w:val="none"/>
          <w:lang w:val="en-US" w:eastAsia="zh-CN" w:bidi="ar-SA"/>
        </w:rPr>
        <w:t>）</w:t>
      </w:r>
    </w:p>
    <w:p w14:paraId="7F4507BA">
      <w:pPr>
        <w:keepNext w:val="0"/>
        <w:keepLines w:val="0"/>
        <w:pageBreakBefore w:val="0"/>
        <w:widowControl w:val="0"/>
        <w:kinsoku/>
        <w:wordWrap/>
        <w:overflowPunct/>
        <w:topLinePunct w:val="0"/>
        <w:autoSpaceDE/>
        <w:autoSpaceDN/>
        <w:bidi w:val="0"/>
        <w:adjustRightInd/>
        <w:snapToGrid/>
        <w:spacing w:before="165" w:beforeLines="50" w:after="165" w:afterLines="50" w:line="560" w:lineRule="exact"/>
        <w:ind w:left="0" w:leftChars="0" w:firstLine="646" w:firstLineChars="200"/>
        <w:textAlignment w:val="auto"/>
        <w:rPr>
          <w:rFonts w:hint="eastAsia" w:ascii="黑体" w:hAnsi="黑体" w:eastAsia="黑体" w:cs="黑体"/>
          <w:color w:val="auto"/>
          <w:sz w:val="32"/>
          <w:szCs w:val="32"/>
          <w:highlight w:val="none"/>
        </w:rPr>
      </w:pPr>
      <w:r>
        <w:rPr>
          <w:rFonts w:hint="eastAsia" w:ascii="仿宋" w:hAnsi="仿宋" w:eastAsia="仿宋" w:cs="仿宋"/>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、绩效评价工作开展情况</w:t>
      </w:r>
    </w:p>
    <w:p w14:paraId="170DAA1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zh-CN"/>
        </w:rPr>
      </w:pP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val="zh-CN"/>
        </w:rPr>
        <w:t>评价依据</w:t>
      </w:r>
    </w:p>
    <w:p w14:paraId="03AE841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1.中央、省、市、县现行相关政策文件；</w:t>
      </w:r>
    </w:p>
    <w:p w14:paraId="1387FE2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2.绛帐镇人民政府相关文件；</w:t>
      </w:r>
    </w:p>
    <w:p w14:paraId="79EA02C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3.项目实施单位提供的相关资料，包括项目申报资料、项目自评报告、绩效目标表、资金到账及资金支出凭证，验收、审计相关资料，项目实施及管理等相关资料；</w:t>
      </w:r>
    </w:p>
    <w:p w14:paraId="59776D8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4.评价工作人员通过现场调查、核实、问卷等获得的资料；</w:t>
      </w:r>
    </w:p>
    <w:p w14:paraId="43F65C6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5.其他相关资料。</w:t>
      </w:r>
    </w:p>
    <w:p w14:paraId="6506A09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楷体" w:hAnsi="楷体" w:eastAsia="楷体" w:cs="楷体"/>
          <w:b/>
          <w:bCs/>
          <w:color w:val="auto"/>
          <w:sz w:val="32"/>
          <w:szCs w:val="32"/>
          <w:highlight w:val="none"/>
          <w:lang w:val="en-US" w:eastAsia="zh-CN"/>
        </w:rPr>
        <w:t>二）评价目的与重点</w:t>
      </w:r>
    </w:p>
    <w:p w14:paraId="22249CED">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1.评价目的</w:t>
      </w:r>
    </w:p>
    <w:p w14:paraId="119AA46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运用规范</w:t>
      </w:r>
      <w:r>
        <w:rPr>
          <w:rFonts w:hint="eastAsia" w:ascii="仿宋_GB2312" w:hAnsi="仿宋_GB2312" w:eastAsia="仿宋_GB2312" w:cs="仿宋_GB2312"/>
          <w:color w:val="auto"/>
          <w:kern w:val="2"/>
          <w:sz w:val="32"/>
          <w:szCs w:val="32"/>
          <w:highlight w:val="none"/>
          <w:lang w:val="en-US" w:eastAsia="zh-CN" w:bidi="ar-SA"/>
        </w:rPr>
        <w:t>的绩效指标体系和科学的评价方法，全面、客观反映财政支出项目完成情况和实施效果。同时，及时总结经验，分析存在的问题，采取有效措施改进和加强项目管理，为政府相关决策提供参考依据。</w:t>
      </w:r>
    </w:p>
    <w:p w14:paraId="0C53DD0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23344D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default" w:ascii="仿宋_GB2312" w:hAnsi="仿宋_GB2312" w:eastAsia="仿宋_GB2312" w:cs="仿宋_GB2312"/>
          <w:color w:val="auto"/>
          <w:kern w:val="2"/>
          <w:sz w:val="32"/>
          <w:szCs w:val="32"/>
          <w:highlight w:val="none"/>
          <w:lang w:val="en-US" w:eastAsia="zh-CN" w:bidi="ar-SA"/>
        </w:rPr>
        <w:t>项目目标及任务完成情况：评估项目是否按时、按质、按量完成了预定的目标和任务。</w:t>
      </w:r>
    </w:p>
    <w:p w14:paraId="0684E8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default" w:ascii="仿宋_GB2312" w:hAnsi="仿宋_GB2312" w:eastAsia="仿宋_GB2312" w:cs="仿宋_GB2312"/>
          <w:color w:val="auto"/>
          <w:kern w:val="2"/>
          <w:sz w:val="32"/>
          <w:szCs w:val="32"/>
          <w:highlight w:val="none"/>
          <w:lang w:val="en-US" w:eastAsia="zh-CN" w:bidi="ar-SA"/>
        </w:rPr>
        <w:t>项目质量及</w:t>
      </w:r>
      <w:r>
        <w:rPr>
          <w:rFonts w:hint="eastAsia" w:ascii="仿宋_GB2312" w:hAnsi="仿宋_GB2312" w:eastAsia="仿宋_GB2312" w:cs="仿宋_GB2312"/>
          <w:color w:val="auto"/>
          <w:kern w:val="2"/>
          <w:sz w:val="32"/>
          <w:szCs w:val="32"/>
          <w:highlight w:val="none"/>
          <w:lang w:val="en-US" w:eastAsia="zh-CN" w:bidi="ar-SA"/>
        </w:rPr>
        <w:t>成效</w:t>
      </w:r>
      <w:r>
        <w:rPr>
          <w:rFonts w:hint="default" w:ascii="仿宋_GB2312" w:hAnsi="仿宋_GB2312" w:eastAsia="仿宋_GB2312" w:cs="仿宋_GB2312"/>
          <w:color w:val="auto"/>
          <w:kern w:val="2"/>
          <w:sz w:val="32"/>
          <w:szCs w:val="32"/>
          <w:highlight w:val="none"/>
          <w:lang w:val="en-US" w:eastAsia="zh-CN" w:bidi="ar-SA"/>
        </w:rPr>
        <w:t>：考察项目的产出质量和</w:t>
      </w:r>
      <w:r>
        <w:rPr>
          <w:rFonts w:hint="eastAsia" w:ascii="仿宋_GB2312" w:hAnsi="仿宋_GB2312" w:eastAsia="仿宋_GB2312" w:cs="仿宋_GB2312"/>
          <w:color w:val="auto"/>
          <w:kern w:val="2"/>
          <w:sz w:val="32"/>
          <w:szCs w:val="32"/>
          <w:highlight w:val="none"/>
          <w:lang w:val="en-US" w:eastAsia="zh-CN" w:bidi="ar-SA"/>
        </w:rPr>
        <w:t>成效情况</w:t>
      </w:r>
      <w:r>
        <w:rPr>
          <w:rFonts w:hint="default" w:ascii="仿宋_GB2312" w:hAnsi="仿宋_GB2312" w:eastAsia="仿宋_GB2312" w:cs="仿宋_GB2312"/>
          <w:color w:val="auto"/>
          <w:kern w:val="2"/>
          <w:sz w:val="32"/>
          <w:szCs w:val="32"/>
          <w:highlight w:val="none"/>
          <w:lang w:val="en-US" w:eastAsia="zh-CN" w:bidi="ar-SA"/>
        </w:rPr>
        <w:t>。</w:t>
      </w:r>
    </w:p>
    <w:p w14:paraId="67C6F4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项目管理效能：评价项目的组织管理、财务管理、</w:t>
      </w:r>
      <w:r>
        <w:rPr>
          <w:rFonts w:hint="eastAsia" w:ascii="仿宋_GB2312" w:hAnsi="仿宋_GB2312" w:eastAsia="仿宋_GB2312" w:cs="仿宋_GB2312"/>
          <w:color w:val="auto"/>
          <w:kern w:val="2"/>
          <w:sz w:val="32"/>
          <w:szCs w:val="32"/>
          <w:highlight w:val="none"/>
          <w:lang w:val="en-US" w:eastAsia="zh-CN" w:bidi="ar-SA"/>
        </w:rPr>
        <w:t>长效</w:t>
      </w:r>
      <w:r>
        <w:rPr>
          <w:rFonts w:hint="default" w:ascii="仿宋_GB2312" w:hAnsi="仿宋_GB2312" w:eastAsia="仿宋_GB2312" w:cs="仿宋_GB2312"/>
          <w:color w:val="auto"/>
          <w:kern w:val="2"/>
          <w:sz w:val="32"/>
          <w:szCs w:val="32"/>
          <w:highlight w:val="none"/>
          <w:lang w:val="en-US" w:eastAsia="zh-CN" w:bidi="ar-SA"/>
        </w:rPr>
        <w:t>管理等方面的效率和效果。</w:t>
      </w:r>
    </w:p>
    <w:p w14:paraId="2D8D88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6" w:firstLineChars="200"/>
        <w:jc w:val="left"/>
        <w:textAlignment w:val="auto"/>
        <w:rPr>
          <w:rFonts w:hint="eastAsia" w:ascii="楷体" w:hAnsi="楷体" w:eastAsia="楷体" w:cs="楷体"/>
          <w:b/>
          <w:bCs/>
          <w:color w:val="auto"/>
          <w:sz w:val="32"/>
          <w:szCs w:val="32"/>
          <w:highlight w:val="green"/>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val="en-US" w:eastAsia="zh-CN" w:bidi="ar-SA"/>
        </w:rPr>
        <w:t>项目的经济效益及社会效益：分析项目对经济发展的贡献以及对社会的正面影响。</w:t>
      </w:r>
    </w:p>
    <w:p w14:paraId="7640C95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sz w:val="24"/>
          <w:szCs w:val="24"/>
        </w:rPr>
      </w:pP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000000"/>
          <w:kern w:val="0"/>
          <w:sz w:val="31"/>
          <w:szCs w:val="31"/>
          <w:lang w:val="en-US" w:eastAsia="zh-CN" w:bidi="ar"/>
        </w:rPr>
        <w:t>绩效评价指标与方法</w:t>
      </w:r>
      <w:r>
        <w:rPr>
          <w:rFonts w:hint="eastAsia" w:ascii="仿宋_GB2312" w:hAnsi="宋体" w:eastAsia="仿宋_GB2312" w:cs="仿宋_GB2312"/>
          <w:color w:val="000000"/>
          <w:kern w:val="0"/>
          <w:sz w:val="24"/>
          <w:szCs w:val="24"/>
          <w:lang w:val="en-US" w:eastAsia="zh-CN" w:bidi="ar"/>
        </w:rPr>
        <w:t xml:space="preserve"> </w:t>
      </w:r>
    </w:p>
    <w:p w14:paraId="753B1C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1.评价原则</w:t>
      </w:r>
    </w:p>
    <w:p w14:paraId="58174BBC">
      <w:pPr>
        <w:spacing w:line="560" w:lineRule="exact"/>
        <w:ind w:firstLine="646"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按照科学规范、公正公开、分级分类、绩效相关的原则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对项目进行综合评价。</w:t>
      </w:r>
    </w:p>
    <w:p w14:paraId="32F792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2.评价指标体系</w:t>
      </w:r>
    </w:p>
    <w:p w14:paraId="65E74B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项目评价指标体系详见附件。</w:t>
      </w:r>
    </w:p>
    <w:p w14:paraId="31652B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3.评价方法</w:t>
      </w:r>
    </w:p>
    <w:p w14:paraId="38C129F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采用比较、因素分析、公众评判等评价方法，在</w:t>
      </w:r>
      <w:r>
        <w:rPr>
          <w:rFonts w:hint="eastAsia" w:ascii="仿宋_GB2312" w:hAnsi="仿宋_GB2312" w:eastAsia="仿宋_GB2312" w:cs="仿宋_GB2312"/>
          <w:color w:val="auto"/>
          <w:kern w:val="2"/>
          <w:sz w:val="32"/>
          <w:szCs w:val="32"/>
          <w:highlight w:val="none"/>
          <w:lang w:val="zh-CN" w:eastAsia="zh-CN" w:bidi="ar-SA"/>
        </w:rPr>
        <w:t>项目单位自评</w:t>
      </w:r>
      <w:r>
        <w:rPr>
          <w:rFonts w:hint="eastAsia" w:ascii="仿宋_GB2312" w:hAnsi="仿宋_GB2312" w:eastAsia="仿宋_GB2312" w:cs="仿宋_GB2312"/>
          <w:color w:val="auto"/>
          <w:kern w:val="2"/>
          <w:sz w:val="32"/>
          <w:szCs w:val="32"/>
          <w:highlight w:val="none"/>
          <w:lang w:val="en-US" w:eastAsia="zh-CN" w:bidi="ar-SA"/>
        </w:rPr>
        <w:t>的基础上</w:t>
      </w:r>
      <w:r>
        <w:rPr>
          <w:rFonts w:hint="eastAsia" w:ascii="仿宋_GB2312" w:hAnsi="仿宋_GB2312" w:eastAsia="仿宋_GB2312" w:cs="仿宋_GB2312"/>
          <w:color w:val="auto"/>
          <w:kern w:val="2"/>
          <w:sz w:val="32"/>
          <w:szCs w:val="32"/>
          <w:highlight w:val="none"/>
          <w:lang w:val="zh-CN" w:eastAsia="zh-CN" w:bidi="ar-SA"/>
        </w:rPr>
        <w:t>，通过</w:t>
      </w:r>
      <w:r>
        <w:rPr>
          <w:rFonts w:hint="eastAsia" w:ascii="仿宋_GB2312" w:hAnsi="仿宋_GB2312" w:eastAsia="仿宋_GB2312" w:cs="仿宋_GB2312"/>
          <w:color w:val="auto"/>
          <w:kern w:val="2"/>
          <w:sz w:val="32"/>
          <w:szCs w:val="32"/>
          <w:highlight w:val="none"/>
          <w:lang w:val="en-US" w:eastAsia="zh-CN" w:bidi="ar-SA"/>
        </w:rPr>
        <w:t>统计汇总与数据</w:t>
      </w:r>
      <w:r>
        <w:rPr>
          <w:rFonts w:hint="eastAsia" w:ascii="仿宋_GB2312" w:hAnsi="仿宋_GB2312" w:eastAsia="仿宋_GB2312" w:cs="仿宋_GB2312"/>
          <w:color w:val="auto"/>
          <w:kern w:val="2"/>
          <w:sz w:val="32"/>
          <w:szCs w:val="32"/>
          <w:highlight w:val="none"/>
          <w:lang w:val="zh-CN" w:eastAsia="zh-CN" w:bidi="ar-SA"/>
        </w:rPr>
        <w:t>分析、整体评价与现场评价、</w:t>
      </w:r>
      <w:r>
        <w:rPr>
          <w:rFonts w:hint="eastAsia" w:ascii="仿宋_GB2312" w:hAnsi="仿宋_GB2312" w:eastAsia="仿宋_GB2312" w:cs="仿宋_GB2312"/>
          <w:color w:val="auto"/>
          <w:kern w:val="2"/>
          <w:sz w:val="32"/>
          <w:szCs w:val="32"/>
          <w:highlight w:val="none"/>
          <w:lang w:val="en-US" w:eastAsia="zh-CN" w:bidi="ar-SA"/>
        </w:rPr>
        <w:t>走访惠及群众及</w:t>
      </w:r>
      <w:r>
        <w:rPr>
          <w:rFonts w:hint="eastAsia" w:ascii="仿宋_GB2312" w:hAnsi="仿宋_GB2312" w:eastAsia="仿宋_GB2312" w:cs="仿宋_GB2312"/>
          <w:color w:val="auto"/>
          <w:kern w:val="2"/>
          <w:sz w:val="32"/>
          <w:szCs w:val="32"/>
          <w:highlight w:val="none"/>
          <w:lang w:val="zh-CN" w:eastAsia="zh-CN" w:bidi="ar-SA"/>
        </w:rPr>
        <w:t>问卷调查等方式进行</w:t>
      </w:r>
      <w:r>
        <w:rPr>
          <w:rFonts w:hint="eastAsia" w:ascii="仿宋_GB2312" w:hAnsi="仿宋_GB2312" w:eastAsia="仿宋_GB2312" w:cs="仿宋_GB2312"/>
          <w:color w:val="auto"/>
          <w:kern w:val="2"/>
          <w:sz w:val="32"/>
          <w:szCs w:val="32"/>
          <w:highlight w:val="none"/>
          <w:lang w:val="en-US" w:eastAsia="zh-CN" w:bidi="ar-SA"/>
        </w:rPr>
        <w:t>绩效</w:t>
      </w:r>
      <w:r>
        <w:rPr>
          <w:rFonts w:hint="eastAsia" w:ascii="仿宋_GB2312" w:hAnsi="仿宋_GB2312" w:eastAsia="仿宋_GB2312" w:cs="仿宋_GB2312"/>
          <w:color w:val="auto"/>
          <w:kern w:val="2"/>
          <w:sz w:val="32"/>
          <w:szCs w:val="32"/>
          <w:highlight w:val="none"/>
          <w:lang w:val="zh-CN" w:eastAsia="zh-CN" w:bidi="ar-SA"/>
        </w:rPr>
        <w:t>评价，形成</w:t>
      </w:r>
      <w:r>
        <w:rPr>
          <w:rFonts w:hint="eastAsia" w:ascii="仿宋_GB2312" w:hAnsi="仿宋_GB2312" w:eastAsia="仿宋_GB2312" w:cs="仿宋_GB2312"/>
          <w:color w:val="auto"/>
          <w:kern w:val="2"/>
          <w:sz w:val="32"/>
          <w:szCs w:val="32"/>
          <w:highlight w:val="none"/>
          <w:lang w:val="en-US" w:eastAsia="zh-CN" w:bidi="ar-SA"/>
        </w:rPr>
        <w:t>评价结论，</w:t>
      </w:r>
      <w:r>
        <w:rPr>
          <w:rFonts w:hint="eastAsia" w:ascii="仿宋_GB2312" w:hAnsi="仿宋_GB2312" w:eastAsia="仿宋_GB2312" w:cs="仿宋_GB2312"/>
          <w:color w:val="auto"/>
          <w:kern w:val="2"/>
          <w:sz w:val="32"/>
          <w:szCs w:val="32"/>
          <w:highlight w:val="none"/>
          <w:lang w:val="zh-CN" w:eastAsia="zh-CN" w:bidi="ar-SA"/>
        </w:rPr>
        <w:t>撰写</w:t>
      </w:r>
      <w:r>
        <w:rPr>
          <w:rFonts w:hint="eastAsia" w:ascii="仿宋_GB2312" w:hAnsi="仿宋_GB2312" w:eastAsia="仿宋_GB2312" w:cs="仿宋_GB2312"/>
          <w:color w:val="auto"/>
          <w:kern w:val="2"/>
          <w:sz w:val="32"/>
          <w:szCs w:val="32"/>
          <w:highlight w:val="none"/>
          <w:lang w:val="en-US" w:eastAsia="zh-CN" w:bidi="ar-SA"/>
        </w:rPr>
        <w:t>评价</w:t>
      </w:r>
      <w:r>
        <w:rPr>
          <w:rFonts w:hint="eastAsia" w:ascii="仿宋_GB2312" w:hAnsi="仿宋_GB2312" w:eastAsia="仿宋_GB2312" w:cs="仿宋_GB2312"/>
          <w:color w:val="auto"/>
          <w:kern w:val="2"/>
          <w:sz w:val="32"/>
          <w:szCs w:val="32"/>
          <w:highlight w:val="none"/>
          <w:lang w:val="zh-CN" w:eastAsia="zh-CN" w:bidi="ar-SA"/>
        </w:rPr>
        <w:t>报告</w:t>
      </w:r>
      <w:r>
        <w:rPr>
          <w:rFonts w:hint="eastAsia" w:ascii="仿宋_GB2312" w:hAnsi="仿宋_GB2312" w:eastAsia="仿宋_GB2312" w:cs="仿宋_GB2312"/>
          <w:color w:val="auto"/>
          <w:kern w:val="2"/>
          <w:sz w:val="32"/>
          <w:szCs w:val="32"/>
          <w:highlight w:val="none"/>
          <w:lang w:val="en-US" w:eastAsia="zh-CN" w:bidi="ar-SA"/>
        </w:rPr>
        <w:t>。</w:t>
      </w:r>
    </w:p>
    <w:p w14:paraId="32B7C2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firstLine="969" w:firstLineChars="3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4.评价标准</w:t>
      </w:r>
    </w:p>
    <w:p w14:paraId="4FB8D526">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2024年扶风县绛帐镇镇区管理及环卫补助资金项目绩效评价采</w:t>
      </w:r>
      <w:r>
        <w:rPr>
          <w:rFonts w:hint="eastAsia" w:ascii="仿宋_GB2312" w:hAnsi="仿宋_GB2312" w:eastAsia="仿宋_GB2312" w:cs="仿宋_GB2312"/>
          <w:color w:val="auto"/>
          <w:sz w:val="32"/>
          <w:szCs w:val="32"/>
          <w:highlight w:val="none"/>
        </w:rPr>
        <w:t>用百分制得分。评价指标共设置</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个一级指标、</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个二级指标、</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个三级指标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评价结果分为优</w:t>
      </w:r>
      <w:r>
        <w:rPr>
          <w:rFonts w:hint="eastAsia" w:ascii="仿宋_GB2312" w:hAnsi="仿宋_GB2312" w:eastAsia="仿宋_GB2312" w:cs="仿宋_GB2312"/>
          <w:color w:val="auto"/>
          <w:sz w:val="32"/>
          <w:szCs w:val="32"/>
          <w:highlight w:val="none"/>
          <w:lang w:val="en-US" w:eastAsia="zh-CN"/>
        </w:rPr>
        <w:t>秀</w:t>
      </w:r>
      <w:r>
        <w:rPr>
          <w:rFonts w:hint="eastAsia" w:ascii="仿宋_GB2312" w:hAnsi="仿宋_GB2312" w:eastAsia="仿宋_GB2312" w:cs="仿宋_GB2312"/>
          <w:color w:val="auto"/>
          <w:sz w:val="32"/>
          <w:szCs w:val="32"/>
          <w:highlight w:val="none"/>
        </w:rPr>
        <w:t>、良</w:t>
      </w:r>
      <w:r>
        <w:rPr>
          <w:rFonts w:hint="eastAsia" w:ascii="仿宋_GB2312" w:hAnsi="仿宋_GB2312" w:eastAsia="仿宋_GB2312" w:cs="仿宋_GB2312"/>
          <w:color w:val="auto"/>
          <w:sz w:val="32"/>
          <w:szCs w:val="32"/>
          <w:highlight w:val="none"/>
          <w:lang w:val="en-US" w:eastAsia="zh-CN"/>
        </w:rPr>
        <w:t>好</w:t>
      </w:r>
      <w:r>
        <w:rPr>
          <w:rFonts w:hint="eastAsia" w:ascii="仿宋_GB2312" w:hAnsi="仿宋_GB2312" w:eastAsia="仿宋_GB2312" w:cs="仿宋_GB2312"/>
          <w:color w:val="auto"/>
          <w:sz w:val="32"/>
          <w:szCs w:val="32"/>
          <w:highlight w:val="none"/>
        </w:rPr>
        <w:t>、一般、差4个评价等次，根据计算结果的分值，确定评价项目最后达到的等次。具体</w:t>
      </w:r>
      <w:r>
        <w:rPr>
          <w:rFonts w:hint="eastAsia" w:ascii="仿宋_GB2312" w:hAnsi="仿宋_GB2312" w:eastAsia="仿宋_GB2312" w:cs="仿宋_GB2312"/>
          <w:color w:val="auto"/>
          <w:sz w:val="32"/>
          <w:szCs w:val="32"/>
          <w:highlight w:val="none"/>
          <w:lang w:val="en-US" w:eastAsia="zh-CN"/>
        </w:rPr>
        <w:t>见表5</w:t>
      </w:r>
      <w:r>
        <w:rPr>
          <w:rFonts w:hint="eastAsia" w:ascii="仿宋_GB2312" w:hAnsi="仿宋_GB2312" w:eastAsia="仿宋_GB2312" w:cs="仿宋_GB2312"/>
          <w:color w:val="auto"/>
          <w:sz w:val="32"/>
          <w:szCs w:val="32"/>
          <w:highlight w:val="none"/>
        </w:rPr>
        <w:t>：</w:t>
      </w:r>
    </w:p>
    <w:p w14:paraId="214DFC61">
      <w:pPr>
        <w:pStyle w:val="8"/>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表5   评价结果等次表</w:t>
      </w:r>
    </w:p>
    <w:tbl>
      <w:tblPr>
        <w:tblStyle w:val="1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264"/>
        <w:gridCol w:w="2028"/>
        <w:gridCol w:w="2262"/>
        <w:gridCol w:w="1363"/>
      </w:tblGrid>
      <w:tr w14:paraId="3B0C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92" w:type="dxa"/>
            <w:tcBorders>
              <w:left w:val="nil"/>
            </w:tcBorders>
            <w:shd w:val="clear" w:color="auto" w:fill="D7D7D7"/>
            <w:noWrap w:val="0"/>
            <w:vAlign w:val="center"/>
          </w:tcPr>
          <w:p w14:paraId="054429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评价等次</w:t>
            </w:r>
          </w:p>
        </w:tc>
        <w:tc>
          <w:tcPr>
            <w:tcW w:w="1264" w:type="dxa"/>
            <w:shd w:val="clear" w:color="auto" w:fill="D7D7D7"/>
            <w:noWrap w:val="0"/>
            <w:vAlign w:val="center"/>
          </w:tcPr>
          <w:p w14:paraId="7A640F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优</w:t>
            </w:r>
            <w:r>
              <w:rPr>
                <w:rFonts w:hint="eastAsia" w:ascii="仿宋_GB2312" w:hAnsi="仿宋_GB2312" w:eastAsia="仿宋_GB2312" w:cs="仿宋_GB2312"/>
                <w:b/>
                <w:bCs/>
                <w:color w:val="auto"/>
                <w:sz w:val="24"/>
                <w:szCs w:val="24"/>
                <w:highlight w:val="none"/>
                <w:lang w:val="en-US" w:eastAsia="zh-CN"/>
              </w:rPr>
              <w:t>秀</w:t>
            </w:r>
          </w:p>
        </w:tc>
        <w:tc>
          <w:tcPr>
            <w:tcW w:w="2028" w:type="dxa"/>
            <w:shd w:val="clear" w:color="auto" w:fill="D7D7D7"/>
            <w:noWrap w:val="0"/>
            <w:vAlign w:val="center"/>
          </w:tcPr>
          <w:p w14:paraId="19F1D8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良</w:t>
            </w:r>
            <w:r>
              <w:rPr>
                <w:rFonts w:hint="eastAsia" w:ascii="仿宋_GB2312" w:hAnsi="仿宋_GB2312" w:eastAsia="仿宋_GB2312" w:cs="仿宋_GB2312"/>
                <w:b/>
                <w:bCs/>
                <w:color w:val="auto"/>
                <w:sz w:val="24"/>
                <w:szCs w:val="24"/>
                <w:highlight w:val="none"/>
                <w:lang w:val="en-US" w:eastAsia="zh-CN"/>
              </w:rPr>
              <w:t>好</w:t>
            </w:r>
          </w:p>
        </w:tc>
        <w:tc>
          <w:tcPr>
            <w:tcW w:w="2262" w:type="dxa"/>
            <w:shd w:val="clear" w:color="auto" w:fill="D7D7D7"/>
            <w:noWrap w:val="0"/>
            <w:vAlign w:val="center"/>
          </w:tcPr>
          <w:p w14:paraId="3DE80A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一般</w:t>
            </w:r>
          </w:p>
        </w:tc>
        <w:tc>
          <w:tcPr>
            <w:tcW w:w="1363" w:type="dxa"/>
            <w:tcBorders>
              <w:right w:val="nil"/>
            </w:tcBorders>
            <w:shd w:val="clear" w:color="auto" w:fill="D7D7D7"/>
            <w:noWrap w:val="0"/>
            <w:vAlign w:val="center"/>
          </w:tcPr>
          <w:p w14:paraId="43A9C4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差</w:t>
            </w:r>
          </w:p>
        </w:tc>
      </w:tr>
      <w:tr w14:paraId="28A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92" w:type="dxa"/>
            <w:tcBorders>
              <w:left w:val="nil"/>
            </w:tcBorders>
            <w:noWrap w:val="0"/>
            <w:vAlign w:val="center"/>
          </w:tcPr>
          <w:p w14:paraId="1A96A4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分值S</w:t>
            </w:r>
          </w:p>
        </w:tc>
        <w:tc>
          <w:tcPr>
            <w:tcW w:w="1264" w:type="dxa"/>
            <w:noWrap w:val="0"/>
            <w:vAlign w:val="center"/>
          </w:tcPr>
          <w:p w14:paraId="6D338C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90</w:t>
            </w:r>
          </w:p>
        </w:tc>
        <w:tc>
          <w:tcPr>
            <w:tcW w:w="2028" w:type="dxa"/>
            <w:noWrap w:val="0"/>
            <w:vAlign w:val="center"/>
          </w:tcPr>
          <w:p w14:paraId="1E77A0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 S ≥ 80</w:t>
            </w:r>
          </w:p>
        </w:tc>
        <w:tc>
          <w:tcPr>
            <w:tcW w:w="2262" w:type="dxa"/>
            <w:noWrap w:val="0"/>
            <w:vAlign w:val="center"/>
          </w:tcPr>
          <w:p w14:paraId="56D322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 ＞ S ≥ 60</w:t>
            </w:r>
          </w:p>
        </w:tc>
        <w:tc>
          <w:tcPr>
            <w:tcW w:w="1363" w:type="dxa"/>
            <w:tcBorders>
              <w:right w:val="nil"/>
            </w:tcBorders>
            <w:noWrap w:val="0"/>
            <w:vAlign w:val="center"/>
          </w:tcPr>
          <w:p w14:paraId="15786D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S ＜ 60</w:t>
            </w:r>
          </w:p>
        </w:tc>
      </w:tr>
    </w:tbl>
    <w:p w14:paraId="36B61F2E">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6EA084CF">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为了做好本次绩效评价工作，</w:t>
      </w:r>
      <w:r>
        <w:rPr>
          <w:rFonts w:hint="eastAsia" w:ascii="仿宋_GB2312" w:hAnsi="仿宋_GB2312" w:eastAsia="仿宋_GB2312" w:cs="仿宋_GB2312"/>
          <w:color w:val="auto"/>
          <w:sz w:val="32"/>
          <w:szCs w:val="32"/>
          <w:highlight w:val="none"/>
          <w:lang w:val="en-US" w:eastAsia="zh-CN"/>
        </w:rPr>
        <w:t>我们按照</w:t>
      </w:r>
      <w:r>
        <w:rPr>
          <w:rFonts w:hint="eastAsia" w:ascii="仿宋_GB2312" w:hAnsi="仿宋_GB2312" w:eastAsia="仿宋_GB2312" w:cs="仿宋_GB2312"/>
          <w:color w:val="auto"/>
          <w:sz w:val="32"/>
          <w:szCs w:val="32"/>
          <w:highlight w:val="none"/>
        </w:rPr>
        <w:t>准备阶段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实施阶段（</w:t>
      </w:r>
      <w:r>
        <w:rPr>
          <w:rFonts w:hint="default" w:ascii="仿宋_GB2312" w:hAnsi="仿宋_GB2312" w:eastAsia="仿宋_GB2312" w:cs="仿宋_GB2312"/>
          <w:color w:val="auto"/>
          <w:sz w:val="32"/>
          <w:szCs w:val="32"/>
          <w:highlight w:val="none"/>
          <w:lang w:val="en-US" w:eastAsia="zh-CN"/>
        </w:rPr>
        <w:t>资料收集和初审</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现场考察</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数据整理与分析</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综合评价</w:t>
      </w:r>
      <w:r>
        <w:rPr>
          <w:rFonts w:hint="eastAsia" w:ascii="仿宋_GB2312" w:hAnsi="仿宋_GB2312" w:eastAsia="仿宋_GB2312" w:cs="仿宋_GB2312"/>
          <w:color w:val="auto"/>
          <w:sz w:val="32"/>
          <w:szCs w:val="32"/>
          <w:highlight w:val="none"/>
          <w:lang w:val="en-US" w:eastAsia="zh-CN"/>
        </w:rPr>
        <w:t>）、报告撰写与提交阶段（</w:t>
      </w:r>
      <w:r>
        <w:rPr>
          <w:rFonts w:hint="default" w:ascii="仿宋_GB2312" w:hAnsi="仿宋_GB2312" w:eastAsia="仿宋_GB2312" w:cs="仿宋_GB2312"/>
          <w:color w:val="auto"/>
          <w:sz w:val="32"/>
          <w:szCs w:val="32"/>
          <w:highlight w:val="none"/>
          <w:lang w:val="en-US" w:eastAsia="zh-CN"/>
        </w:rPr>
        <w:t>撰写评价报告</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提交报告</w:t>
      </w:r>
      <w:r>
        <w:rPr>
          <w:rFonts w:hint="eastAsia" w:ascii="仿宋_GB2312" w:hAnsi="仿宋_GB2312" w:eastAsia="仿宋_GB2312" w:cs="仿宋_GB2312"/>
          <w:color w:val="auto"/>
          <w:sz w:val="32"/>
          <w:szCs w:val="32"/>
          <w:highlight w:val="none"/>
          <w:lang w:val="en-US" w:eastAsia="zh-CN"/>
        </w:rPr>
        <w:t>等）和</w:t>
      </w:r>
      <w:r>
        <w:rPr>
          <w:rFonts w:hint="default" w:ascii="仿宋_GB2312" w:hAnsi="仿宋_GB2312" w:eastAsia="仿宋_GB2312" w:cs="仿宋_GB2312"/>
          <w:color w:val="auto"/>
          <w:sz w:val="32"/>
          <w:szCs w:val="32"/>
          <w:highlight w:val="none"/>
          <w:lang w:val="en-US" w:eastAsia="zh-CN"/>
        </w:rPr>
        <w:t>结果应用</w:t>
      </w:r>
      <w:r>
        <w:rPr>
          <w:rFonts w:hint="eastAsia" w:ascii="仿宋_GB2312" w:hAnsi="仿宋_GB2312" w:eastAsia="仿宋_GB2312" w:cs="仿宋_GB2312"/>
          <w:color w:val="auto"/>
          <w:sz w:val="32"/>
          <w:szCs w:val="32"/>
          <w:highlight w:val="none"/>
          <w:lang w:val="en-US" w:eastAsia="zh-CN"/>
        </w:rPr>
        <w:t>四个</w:t>
      </w:r>
      <w:r>
        <w:rPr>
          <w:rFonts w:hint="default" w:ascii="仿宋_GB2312" w:hAnsi="仿宋_GB2312" w:eastAsia="仿宋_GB2312" w:cs="仿宋_GB2312"/>
          <w:color w:val="auto"/>
          <w:sz w:val="32"/>
          <w:szCs w:val="32"/>
          <w:highlight w:val="none"/>
          <w:lang w:val="en-US" w:eastAsia="zh-CN"/>
        </w:rPr>
        <w:t>阶段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采取项目单位自评、收集项目相关资料、数据分析、现场调查和问卷调查相结合的方法</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开展了现场评价。经过分析研究，并征求相关部门意见，得出该项目绩效评价结论</w:t>
      </w:r>
      <w:r>
        <w:rPr>
          <w:rFonts w:hint="default" w:ascii="仿宋_GB2312" w:hAnsi="仿宋_GB2312" w:eastAsia="仿宋_GB2312" w:cs="仿宋_GB2312"/>
          <w:color w:val="auto"/>
          <w:sz w:val="32"/>
          <w:szCs w:val="32"/>
          <w:highlight w:val="none"/>
          <w:lang w:val="en-US" w:eastAsia="zh-CN"/>
        </w:rPr>
        <w:t>。</w:t>
      </w:r>
    </w:p>
    <w:p w14:paraId="520BB275">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（五）评价局限性</w:t>
      </w:r>
    </w:p>
    <w:p w14:paraId="3D0501A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评价工作人员知识面、经验等限制，在理解和判断上存在认知局限性；三是受问卷调查覆盖面及被调查者认知、愿望等方面的主观倾向性限制，公众满意度测评结果可能存在一定局限性。</w:t>
      </w:r>
    </w:p>
    <w:p w14:paraId="3DC3C76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三、综合评价情况及评价结论（附相关评分表） </w:t>
      </w:r>
    </w:p>
    <w:p w14:paraId="6A14852F">
      <w:pPr>
        <w:keepNext w:val="0"/>
        <w:keepLines w:val="0"/>
        <w:pageBreakBefore w:val="0"/>
        <w:widowControl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kern w:val="2"/>
          <w:sz w:val="32"/>
          <w:szCs w:val="32"/>
          <w:lang w:bidi="ar-SA"/>
        </w:rPr>
        <w:t>2024年</w:t>
      </w:r>
      <w:r>
        <w:rPr>
          <w:rFonts w:hint="eastAsia" w:ascii="仿宋_GB2312" w:hAnsi="仿宋_GB2312" w:eastAsia="仿宋_GB2312" w:cs="仿宋_GB2312"/>
          <w:color w:val="auto"/>
          <w:kern w:val="2"/>
          <w:sz w:val="32"/>
          <w:szCs w:val="32"/>
          <w:lang w:eastAsia="zh-CN" w:bidi="ar-SA"/>
        </w:rPr>
        <w:t>扶风县绛帐镇镇区管理及环卫补助</w:t>
      </w:r>
      <w:r>
        <w:rPr>
          <w:rFonts w:ascii="仿宋_GB2312" w:hAnsi="仿宋_GB2312" w:eastAsia="仿宋_GB2312" w:cs="仿宋_GB2312"/>
          <w:color w:val="auto"/>
          <w:kern w:val="2"/>
          <w:sz w:val="32"/>
          <w:szCs w:val="32"/>
          <w:lang w:bidi="ar-SA"/>
        </w:rPr>
        <w:t>资金项目的资金安排符合相关法律法规及政策要求，符合国家财政专项资金的支持方向，</w:t>
      </w:r>
      <w:r>
        <w:rPr>
          <w:rFonts w:hint="eastAsia" w:ascii="仿宋_GB2312" w:hAnsi="仿宋_GB2312" w:eastAsia="仿宋_GB2312" w:cs="仿宋_GB2312"/>
          <w:color w:val="auto"/>
          <w:kern w:val="2"/>
          <w:sz w:val="32"/>
          <w:szCs w:val="32"/>
          <w:lang w:bidi="ar-SA"/>
        </w:rPr>
        <w:t>是改善区域内环境卫生状况及社会发展所必需</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sz w:val="32"/>
          <w:szCs w:val="32"/>
          <w:highlight w:val="none"/>
          <w:lang w:val="en-US" w:eastAsia="zh-CN"/>
        </w:rPr>
        <w:t>立项依据充分、程序规范，资金到位及时且使用合规，项目产出数量、质量指标完成较好，项目社会效益、生态效益较好。但会计凭证附件资料不完整、制度制定尚不完善，绩效管理工作也需进一步加强。结合单位自评、信息采集、问卷调查等情况，经评价组认真评价，项目绩效评价综合得分89.17分，整体评价结论为良好，详见表6。</w:t>
      </w:r>
    </w:p>
    <w:p w14:paraId="193B1446">
      <w:pPr>
        <w:keepNext w:val="0"/>
        <w:keepLines w:val="0"/>
        <w:widowControl/>
        <w:suppressLineNumbers w:val="0"/>
        <w:ind w:firstLine="2547" w:firstLineChars="900"/>
        <w:jc w:val="left"/>
        <w:rPr>
          <w:color w:val="auto"/>
          <w:highlight w:val="none"/>
        </w:rPr>
      </w:pPr>
      <w:r>
        <w:rPr>
          <w:rFonts w:ascii="仿宋_GB2312" w:hAnsi="宋体" w:eastAsia="仿宋_GB2312" w:cs="仿宋_GB2312"/>
          <w:b/>
          <w:bCs/>
          <w:color w:val="auto"/>
          <w:kern w:val="0"/>
          <w:sz w:val="28"/>
          <w:szCs w:val="28"/>
          <w:highlight w:val="none"/>
          <w:lang w:val="en-US" w:eastAsia="zh-CN" w:bidi="ar"/>
        </w:rPr>
        <w:t>表</w:t>
      </w:r>
      <w:r>
        <w:rPr>
          <w:rFonts w:hint="eastAsia" w:ascii="仿宋_GB2312" w:hAnsi="宋体" w:eastAsia="仿宋_GB2312" w:cs="仿宋_GB2312"/>
          <w:b/>
          <w:bCs/>
          <w:color w:val="auto"/>
          <w:kern w:val="0"/>
          <w:sz w:val="28"/>
          <w:szCs w:val="28"/>
          <w:highlight w:val="none"/>
          <w:lang w:val="en-US" w:eastAsia="zh-CN" w:bidi="ar"/>
        </w:rPr>
        <w:t>6   项目</w:t>
      </w:r>
      <w:r>
        <w:rPr>
          <w:rFonts w:ascii="仿宋_GB2312" w:hAnsi="宋体" w:eastAsia="仿宋_GB2312" w:cs="仿宋_GB2312"/>
          <w:b/>
          <w:bCs/>
          <w:color w:val="auto"/>
          <w:kern w:val="0"/>
          <w:sz w:val="28"/>
          <w:szCs w:val="28"/>
          <w:highlight w:val="none"/>
          <w:lang w:val="en-US" w:eastAsia="zh-CN" w:bidi="ar"/>
        </w:rPr>
        <w:t>指标评分表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4"/>
        <w:gridCol w:w="2216"/>
        <w:gridCol w:w="2071"/>
      </w:tblGrid>
      <w:tr w14:paraId="2C96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shd w:val="clear" w:color="auto" w:fill="D7D7D7"/>
            <w:noWrap w:val="0"/>
            <w:vAlign w:val="center"/>
          </w:tcPr>
          <w:p w14:paraId="2DF54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一级指标</w:t>
            </w:r>
          </w:p>
        </w:tc>
        <w:tc>
          <w:tcPr>
            <w:tcW w:w="2314" w:type="dxa"/>
            <w:shd w:val="clear" w:color="auto" w:fill="D7D7D7"/>
            <w:noWrap w:val="0"/>
            <w:vAlign w:val="center"/>
          </w:tcPr>
          <w:p w14:paraId="199E5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分值</w:t>
            </w:r>
          </w:p>
        </w:tc>
        <w:tc>
          <w:tcPr>
            <w:tcW w:w="2216" w:type="dxa"/>
            <w:shd w:val="clear" w:color="auto" w:fill="D7D7D7"/>
            <w:noWrap w:val="0"/>
            <w:vAlign w:val="center"/>
          </w:tcPr>
          <w:p w14:paraId="1601E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w:t>
            </w:r>
          </w:p>
        </w:tc>
        <w:tc>
          <w:tcPr>
            <w:tcW w:w="2071" w:type="dxa"/>
            <w:shd w:val="clear" w:color="auto" w:fill="D7D7D7"/>
            <w:noWrap w:val="0"/>
            <w:vAlign w:val="center"/>
          </w:tcPr>
          <w:p w14:paraId="52EAD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得分率</w:t>
            </w:r>
          </w:p>
        </w:tc>
      </w:tr>
      <w:tr w14:paraId="7CD8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57129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项目决策</w:t>
            </w:r>
          </w:p>
        </w:tc>
        <w:tc>
          <w:tcPr>
            <w:tcW w:w="2314" w:type="dxa"/>
            <w:noWrap w:val="0"/>
            <w:vAlign w:val="center"/>
          </w:tcPr>
          <w:p w14:paraId="5486C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12</w:t>
            </w:r>
          </w:p>
        </w:tc>
        <w:tc>
          <w:tcPr>
            <w:tcW w:w="2216" w:type="dxa"/>
            <w:noWrap w:val="0"/>
            <w:vAlign w:val="center"/>
          </w:tcPr>
          <w:p w14:paraId="6DF6B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11.2</w:t>
            </w:r>
          </w:p>
        </w:tc>
        <w:tc>
          <w:tcPr>
            <w:tcW w:w="2071" w:type="dxa"/>
            <w:noWrap w:val="0"/>
            <w:vAlign w:val="center"/>
          </w:tcPr>
          <w:p w14:paraId="72F52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93.33%</w:t>
            </w:r>
          </w:p>
        </w:tc>
      </w:tr>
      <w:tr w14:paraId="4DE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39C264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项目过程</w:t>
            </w:r>
          </w:p>
        </w:tc>
        <w:tc>
          <w:tcPr>
            <w:tcW w:w="2314" w:type="dxa"/>
            <w:noWrap w:val="0"/>
            <w:vAlign w:val="center"/>
          </w:tcPr>
          <w:p w14:paraId="076C4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17</w:t>
            </w:r>
          </w:p>
        </w:tc>
        <w:tc>
          <w:tcPr>
            <w:tcW w:w="2216" w:type="dxa"/>
            <w:noWrap w:val="0"/>
            <w:vAlign w:val="center"/>
          </w:tcPr>
          <w:p w14:paraId="1D601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14</w:t>
            </w:r>
          </w:p>
        </w:tc>
        <w:tc>
          <w:tcPr>
            <w:tcW w:w="2071" w:type="dxa"/>
            <w:noWrap w:val="0"/>
            <w:vAlign w:val="center"/>
          </w:tcPr>
          <w:p w14:paraId="07BE5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82.35%</w:t>
            </w:r>
          </w:p>
        </w:tc>
      </w:tr>
      <w:tr w14:paraId="2A03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7142F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项目成本</w:t>
            </w:r>
          </w:p>
        </w:tc>
        <w:tc>
          <w:tcPr>
            <w:tcW w:w="2314" w:type="dxa"/>
            <w:noWrap w:val="0"/>
            <w:vAlign w:val="center"/>
          </w:tcPr>
          <w:p w14:paraId="61394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216" w:type="dxa"/>
            <w:noWrap w:val="0"/>
            <w:vAlign w:val="center"/>
          </w:tcPr>
          <w:p w14:paraId="5BCBA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11</w:t>
            </w:r>
          </w:p>
        </w:tc>
        <w:tc>
          <w:tcPr>
            <w:tcW w:w="2071" w:type="dxa"/>
            <w:noWrap w:val="0"/>
            <w:vAlign w:val="center"/>
          </w:tcPr>
          <w:p w14:paraId="10ABC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100.00%</w:t>
            </w:r>
          </w:p>
        </w:tc>
      </w:tr>
      <w:tr w14:paraId="30CE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74F87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项目产出</w:t>
            </w:r>
          </w:p>
        </w:tc>
        <w:tc>
          <w:tcPr>
            <w:tcW w:w="2314" w:type="dxa"/>
            <w:noWrap w:val="0"/>
            <w:vAlign w:val="center"/>
          </w:tcPr>
          <w:p w14:paraId="28585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25</w:t>
            </w:r>
          </w:p>
        </w:tc>
        <w:tc>
          <w:tcPr>
            <w:tcW w:w="2216" w:type="dxa"/>
            <w:noWrap w:val="0"/>
            <w:vAlign w:val="center"/>
          </w:tcPr>
          <w:p w14:paraId="78948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24.5</w:t>
            </w:r>
          </w:p>
        </w:tc>
        <w:tc>
          <w:tcPr>
            <w:tcW w:w="2071" w:type="dxa"/>
            <w:noWrap w:val="0"/>
            <w:vAlign w:val="center"/>
          </w:tcPr>
          <w:p w14:paraId="06A10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98.00%</w:t>
            </w:r>
          </w:p>
        </w:tc>
      </w:tr>
      <w:tr w14:paraId="556B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46E44C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项目效益</w:t>
            </w:r>
          </w:p>
        </w:tc>
        <w:tc>
          <w:tcPr>
            <w:tcW w:w="2314" w:type="dxa"/>
            <w:noWrap w:val="0"/>
            <w:vAlign w:val="center"/>
          </w:tcPr>
          <w:p w14:paraId="5616C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fldChar w:fldCharType="begin"/>
            </w:r>
            <w:r>
              <w:rPr>
                <w:rFonts w:hint="eastAsia" w:ascii="仿宋_GB2312" w:hAnsi="仿宋_GB2312" w:eastAsia="仿宋_GB2312" w:cs="仿宋_GB2312"/>
                <w:b w:val="0"/>
                <w:bCs w:val="0"/>
                <w:color w:val="auto"/>
                <w:kern w:val="0"/>
                <w:sz w:val="24"/>
                <w:szCs w:val="24"/>
                <w:highlight w:val="none"/>
                <w:lang w:val="en-US" w:eastAsia="zh-CN" w:bidi="ar"/>
              </w:rPr>
              <w:instrText xml:space="preserve"> = sum(E2:E9) \* MERGEFORMAT </w:instrText>
            </w:r>
            <w:r>
              <w:rPr>
                <w:rFonts w:hint="eastAsia" w:ascii="仿宋_GB2312" w:hAnsi="仿宋_GB2312" w:eastAsia="仿宋_GB2312" w:cs="仿宋_GB2312"/>
                <w:b w:val="0"/>
                <w:bCs w:val="0"/>
                <w:color w:val="auto"/>
                <w:kern w:val="0"/>
                <w:sz w:val="24"/>
                <w:szCs w:val="24"/>
                <w:highlight w:val="none"/>
                <w:lang w:val="en-US" w:eastAsia="zh-CN" w:bidi="ar"/>
              </w:rPr>
              <w:fldChar w:fldCharType="separate"/>
            </w:r>
            <w:r>
              <w:rPr>
                <w:rFonts w:hint="eastAsia" w:ascii="仿宋_GB2312" w:hAnsi="仿宋_GB2312" w:eastAsia="仿宋_GB2312" w:cs="仿宋_GB2312"/>
                <w:b w:val="0"/>
                <w:bCs w:val="0"/>
                <w:color w:val="auto"/>
                <w:kern w:val="0"/>
                <w:sz w:val="24"/>
                <w:szCs w:val="24"/>
                <w:highlight w:val="none"/>
                <w:lang w:val="en-US" w:eastAsia="zh-CN" w:bidi="ar"/>
              </w:rPr>
              <w:t>35</w:t>
            </w:r>
            <w:r>
              <w:rPr>
                <w:rFonts w:hint="eastAsia" w:ascii="仿宋_GB2312" w:hAnsi="仿宋_GB2312" w:eastAsia="仿宋_GB2312" w:cs="仿宋_GB2312"/>
                <w:b w:val="0"/>
                <w:bCs w:val="0"/>
                <w:color w:val="auto"/>
                <w:kern w:val="0"/>
                <w:sz w:val="24"/>
                <w:szCs w:val="24"/>
                <w:highlight w:val="none"/>
                <w:lang w:val="en-US" w:eastAsia="zh-CN" w:bidi="ar"/>
              </w:rPr>
              <w:fldChar w:fldCharType="end"/>
            </w:r>
          </w:p>
        </w:tc>
        <w:tc>
          <w:tcPr>
            <w:tcW w:w="2216" w:type="dxa"/>
            <w:noWrap w:val="0"/>
            <w:vAlign w:val="center"/>
          </w:tcPr>
          <w:p w14:paraId="6602F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28.47</w:t>
            </w:r>
          </w:p>
        </w:tc>
        <w:tc>
          <w:tcPr>
            <w:tcW w:w="2071" w:type="dxa"/>
            <w:noWrap w:val="0"/>
            <w:vAlign w:val="center"/>
          </w:tcPr>
          <w:p w14:paraId="5062F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81.34%</w:t>
            </w:r>
          </w:p>
        </w:tc>
      </w:tr>
      <w:tr w14:paraId="4C10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17" w:type="dxa"/>
            <w:noWrap w:val="0"/>
            <w:vAlign w:val="center"/>
          </w:tcPr>
          <w:p w14:paraId="32895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cs="仿宋_GB2312"/>
                <w:b/>
                <w:bCs/>
                <w:color w:val="auto"/>
                <w:kern w:val="0"/>
                <w:sz w:val="24"/>
                <w:szCs w:val="24"/>
                <w:highlight w:val="none"/>
                <w:lang w:val="en-US" w:eastAsia="zh-CN" w:bidi="ar"/>
              </w:rPr>
            </w:pPr>
            <w:r>
              <w:rPr>
                <w:rFonts w:hint="eastAsia" w:ascii="仿宋_GB2312" w:hAnsi="宋体" w:eastAsia="仿宋_GB2312" w:cs="仿宋_GB2312"/>
                <w:b/>
                <w:bCs/>
                <w:color w:val="auto"/>
                <w:kern w:val="0"/>
                <w:sz w:val="24"/>
                <w:szCs w:val="24"/>
                <w:highlight w:val="none"/>
                <w:lang w:val="en-US" w:eastAsia="zh-CN" w:bidi="ar"/>
              </w:rPr>
              <w:t>合计</w:t>
            </w:r>
          </w:p>
        </w:tc>
        <w:tc>
          <w:tcPr>
            <w:tcW w:w="2314" w:type="dxa"/>
            <w:noWrap w:val="0"/>
            <w:vAlign w:val="center"/>
          </w:tcPr>
          <w:p w14:paraId="7B685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sum(B2:B6)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100</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216" w:type="dxa"/>
            <w:noWrap w:val="0"/>
            <w:vAlign w:val="center"/>
          </w:tcPr>
          <w:p w14:paraId="1441D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fldChar w:fldCharType="begin"/>
            </w:r>
            <w:r>
              <w:rPr>
                <w:rFonts w:hint="eastAsia" w:ascii="仿宋_GB2312" w:hAnsi="仿宋_GB2312" w:eastAsia="仿宋_GB2312" w:cs="仿宋_GB2312"/>
                <w:b/>
                <w:bCs/>
                <w:color w:val="auto"/>
                <w:kern w:val="0"/>
                <w:sz w:val="24"/>
                <w:szCs w:val="24"/>
                <w:highlight w:val="none"/>
                <w:lang w:val="en-US" w:eastAsia="zh-CN" w:bidi="ar"/>
              </w:rPr>
              <w:instrText xml:space="preserve"> = sum(C2:C6) \* MERGEFORMAT </w:instrText>
            </w:r>
            <w:r>
              <w:rPr>
                <w:rFonts w:hint="eastAsia" w:ascii="仿宋_GB2312" w:hAnsi="仿宋_GB2312" w:eastAsia="仿宋_GB2312" w:cs="仿宋_GB2312"/>
                <w:b/>
                <w:bCs/>
                <w:color w:val="auto"/>
                <w:kern w:val="0"/>
                <w:sz w:val="24"/>
                <w:szCs w:val="24"/>
                <w:highlight w:val="none"/>
                <w:lang w:val="en-US" w:eastAsia="zh-CN" w:bidi="ar"/>
              </w:rPr>
              <w:fldChar w:fldCharType="separate"/>
            </w:r>
            <w:r>
              <w:rPr>
                <w:rFonts w:hint="eastAsia" w:ascii="仿宋_GB2312" w:hAnsi="仿宋_GB2312" w:eastAsia="仿宋_GB2312" w:cs="仿宋_GB2312"/>
                <w:b/>
                <w:bCs/>
                <w:color w:val="auto"/>
                <w:kern w:val="0"/>
                <w:sz w:val="24"/>
                <w:szCs w:val="24"/>
                <w:highlight w:val="none"/>
                <w:lang w:val="en-US" w:eastAsia="zh-CN" w:bidi="ar"/>
              </w:rPr>
              <w:t>89.17</w:t>
            </w:r>
            <w:r>
              <w:rPr>
                <w:rFonts w:hint="eastAsia" w:ascii="仿宋_GB2312" w:hAnsi="仿宋_GB2312" w:eastAsia="仿宋_GB2312" w:cs="仿宋_GB2312"/>
                <w:b/>
                <w:bCs/>
                <w:color w:val="auto"/>
                <w:kern w:val="0"/>
                <w:sz w:val="24"/>
                <w:szCs w:val="24"/>
                <w:highlight w:val="none"/>
                <w:lang w:val="en-US" w:eastAsia="zh-CN" w:bidi="ar"/>
              </w:rPr>
              <w:fldChar w:fldCharType="end"/>
            </w:r>
          </w:p>
        </w:tc>
        <w:tc>
          <w:tcPr>
            <w:tcW w:w="2071" w:type="dxa"/>
            <w:noWrap w:val="0"/>
            <w:vAlign w:val="center"/>
          </w:tcPr>
          <w:p w14:paraId="67813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89.17%</w:t>
            </w:r>
          </w:p>
        </w:tc>
      </w:tr>
      <w:tr w14:paraId="40CF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718" w:type="dxa"/>
            <w:gridSpan w:val="4"/>
            <w:noWrap w:val="0"/>
            <w:vAlign w:val="center"/>
          </w:tcPr>
          <w:p w14:paraId="7F4BE0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4"/>
                <w:szCs w:val="24"/>
                <w:highlight w:val="none"/>
                <w:vertAlign w:val="baseline"/>
                <w:lang w:val="en-US" w:eastAsia="zh-CN"/>
              </w:rPr>
            </w:pPr>
            <w:r>
              <w:rPr>
                <w:rFonts w:hint="eastAsia" w:ascii="仿宋_GB2312" w:hAnsi="宋体" w:eastAsia="仿宋_GB2312" w:cs="仿宋_GB2312"/>
                <w:b/>
                <w:bCs/>
                <w:color w:val="auto"/>
                <w:kern w:val="0"/>
                <w:sz w:val="24"/>
                <w:szCs w:val="24"/>
                <w:highlight w:val="none"/>
                <w:lang w:val="en-US" w:eastAsia="zh-CN" w:bidi="ar"/>
              </w:rPr>
              <w:t>绩效评价得分：89.17    综合评价结果等级：良好</w:t>
            </w:r>
          </w:p>
        </w:tc>
      </w:tr>
    </w:tbl>
    <w:p w14:paraId="0BBDC2AF">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四、绩效评价指标分析</w:t>
      </w:r>
    </w:p>
    <w:p w14:paraId="2926402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（一）项目决策情况</w:t>
      </w:r>
    </w:p>
    <w:p w14:paraId="3D8895E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项目决策</w:t>
      </w:r>
      <w:r>
        <w:rPr>
          <w:rFonts w:hint="eastAsia" w:ascii="仿宋_GB2312" w:hAnsi="仿宋_GB2312" w:eastAsia="仿宋_GB2312" w:cs="仿宋_GB2312"/>
          <w:color w:val="auto"/>
          <w:sz w:val="32"/>
          <w:szCs w:val="32"/>
          <w:highlight w:val="none"/>
        </w:rPr>
        <w:t>从项目立项、绩效目标、</w:t>
      </w:r>
      <w:r>
        <w:rPr>
          <w:rFonts w:hint="eastAsia" w:ascii="仿宋_GB2312" w:hAnsi="仿宋_GB2312" w:eastAsia="仿宋_GB2312" w:cs="仿宋_GB2312"/>
          <w:color w:val="auto"/>
          <w:sz w:val="32"/>
          <w:szCs w:val="32"/>
          <w:highlight w:val="none"/>
          <w:lang w:val="en-US" w:eastAsia="zh-CN"/>
        </w:rPr>
        <w:t>资金投入</w:t>
      </w:r>
      <w:r>
        <w:rPr>
          <w:rFonts w:hint="eastAsia" w:ascii="仿宋_GB2312" w:hAnsi="仿宋_GB2312" w:eastAsia="仿宋_GB2312" w:cs="仿宋_GB2312"/>
          <w:color w:val="auto"/>
          <w:sz w:val="32"/>
          <w:szCs w:val="32"/>
          <w:highlight w:val="none"/>
        </w:rPr>
        <w:t>三个方面进行评价。项目</w:t>
      </w:r>
      <w:r>
        <w:rPr>
          <w:rFonts w:hint="eastAsia" w:ascii="仿宋_GB2312" w:hAnsi="仿宋_GB2312" w:eastAsia="仿宋_GB2312" w:cs="仿宋_GB2312"/>
          <w:color w:val="auto"/>
          <w:sz w:val="32"/>
          <w:szCs w:val="32"/>
          <w:highlight w:val="none"/>
          <w:lang w:val="en-US" w:eastAsia="zh-CN"/>
        </w:rPr>
        <w:t>决策</w:t>
      </w:r>
      <w:r>
        <w:rPr>
          <w:rFonts w:hint="eastAsia" w:ascii="仿宋_GB2312" w:hAnsi="仿宋_GB2312" w:eastAsia="仿宋_GB2312" w:cs="仿宋_GB2312"/>
          <w:color w:val="auto"/>
          <w:sz w:val="32"/>
          <w:szCs w:val="32"/>
          <w:highlight w:val="none"/>
        </w:rPr>
        <w:t>满分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分，得分</w:t>
      </w:r>
      <w:r>
        <w:rPr>
          <w:rFonts w:hint="eastAsia" w:ascii="仿宋_GB2312" w:hAnsi="仿宋_GB2312" w:eastAsia="仿宋_GB2312" w:cs="仿宋_GB2312"/>
          <w:color w:val="auto"/>
          <w:sz w:val="32"/>
          <w:szCs w:val="32"/>
          <w:highlight w:val="none"/>
          <w:lang w:val="en-US" w:eastAsia="zh-CN"/>
        </w:rPr>
        <w:t>11.2</w:t>
      </w:r>
      <w:r>
        <w:rPr>
          <w:rFonts w:hint="eastAsia" w:ascii="仿宋_GB2312" w:hAnsi="仿宋_GB2312" w:eastAsia="仿宋_GB2312" w:cs="仿宋_GB2312"/>
          <w:color w:val="auto"/>
          <w:sz w:val="32"/>
          <w:szCs w:val="32"/>
          <w:highlight w:val="none"/>
        </w:rPr>
        <w:t>分。具体得分详见表</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w:t>
      </w:r>
    </w:p>
    <w:p w14:paraId="0EFFB48D">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kern w:val="2"/>
          <w:sz w:val="28"/>
          <w:szCs w:val="28"/>
          <w:highlight w:val="none"/>
          <w:lang w:val="en-US" w:eastAsia="zh-CN" w:bidi="ar-SA"/>
        </w:rPr>
        <w:t>表7   项目决策绩效指标分析表</w:t>
      </w:r>
    </w:p>
    <w:tbl>
      <w:tblPr>
        <w:tblStyle w:val="15"/>
        <w:tblW w:w="8778"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05"/>
        <w:gridCol w:w="1611"/>
        <w:gridCol w:w="2836"/>
        <w:gridCol w:w="1084"/>
        <w:gridCol w:w="1084"/>
      </w:tblGrid>
      <w:tr w14:paraId="2239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58" w:type="dxa"/>
            <w:tcBorders>
              <w:left w:val="nil"/>
              <w:tl2br w:val="nil"/>
              <w:tr2bl w:val="nil"/>
            </w:tcBorders>
            <w:shd w:val="clear" w:color="auto" w:fill="D7D7D7"/>
            <w:noWrap w:val="0"/>
            <w:vAlign w:val="center"/>
          </w:tcPr>
          <w:p w14:paraId="696141E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w:t>
            </w:r>
          </w:p>
        </w:tc>
        <w:tc>
          <w:tcPr>
            <w:tcW w:w="805" w:type="dxa"/>
            <w:tcBorders>
              <w:tl2br w:val="nil"/>
              <w:tr2bl w:val="nil"/>
            </w:tcBorders>
            <w:shd w:val="clear" w:color="auto" w:fill="D7D7D7"/>
            <w:noWrap w:val="0"/>
            <w:vAlign w:val="center"/>
          </w:tcPr>
          <w:p w14:paraId="3423A16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c>
          <w:tcPr>
            <w:tcW w:w="1611" w:type="dxa"/>
            <w:tcBorders>
              <w:tl2br w:val="nil"/>
              <w:tr2bl w:val="nil"/>
            </w:tcBorders>
            <w:shd w:val="clear" w:color="auto" w:fill="D7D7D7"/>
            <w:noWrap w:val="0"/>
            <w:vAlign w:val="center"/>
          </w:tcPr>
          <w:p w14:paraId="272B01E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二级指标</w:t>
            </w:r>
          </w:p>
        </w:tc>
        <w:tc>
          <w:tcPr>
            <w:tcW w:w="2836" w:type="dxa"/>
            <w:tcBorders>
              <w:tl2br w:val="nil"/>
              <w:tr2bl w:val="nil"/>
            </w:tcBorders>
            <w:shd w:val="clear" w:color="auto" w:fill="D7D7D7"/>
            <w:noWrap w:val="0"/>
            <w:vAlign w:val="center"/>
          </w:tcPr>
          <w:p w14:paraId="7E6BA00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三级指标</w:t>
            </w:r>
          </w:p>
        </w:tc>
        <w:tc>
          <w:tcPr>
            <w:tcW w:w="1084" w:type="dxa"/>
            <w:tcBorders>
              <w:tl2br w:val="nil"/>
              <w:tr2bl w:val="nil"/>
            </w:tcBorders>
            <w:shd w:val="clear" w:color="auto" w:fill="D7D7D7"/>
            <w:noWrap w:val="0"/>
            <w:vAlign w:val="center"/>
          </w:tcPr>
          <w:p w14:paraId="5B7DCB3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084" w:type="dxa"/>
            <w:tcBorders>
              <w:right w:val="nil"/>
              <w:tl2br w:val="nil"/>
              <w:tr2bl w:val="nil"/>
            </w:tcBorders>
            <w:shd w:val="clear" w:color="auto" w:fill="D7D7D7"/>
            <w:noWrap w:val="0"/>
            <w:vAlign w:val="center"/>
          </w:tcPr>
          <w:p w14:paraId="53B101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得分</w:t>
            </w:r>
          </w:p>
        </w:tc>
      </w:tr>
      <w:tr w14:paraId="0F6F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restart"/>
            <w:tcBorders>
              <w:left w:val="nil"/>
              <w:tl2br w:val="nil"/>
              <w:tr2bl w:val="nil"/>
            </w:tcBorders>
            <w:shd w:val="clear" w:color="auto" w:fill="auto"/>
            <w:noWrap w:val="0"/>
            <w:vAlign w:val="center"/>
          </w:tcPr>
          <w:p w14:paraId="634D65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决策</w:t>
            </w:r>
          </w:p>
        </w:tc>
        <w:tc>
          <w:tcPr>
            <w:tcW w:w="805" w:type="dxa"/>
            <w:vMerge w:val="restart"/>
            <w:tcBorders>
              <w:tl2br w:val="nil"/>
              <w:tr2bl w:val="nil"/>
            </w:tcBorders>
            <w:shd w:val="clear" w:color="auto" w:fill="auto"/>
            <w:noWrap w:val="0"/>
            <w:vAlign w:val="center"/>
          </w:tcPr>
          <w:p w14:paraId="5843B6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611" w:type="dxa"/>
            <w:vMerge w:val="restart"/>
            <w:tcBorders>
              <w:tl2br w:val="nil"/>
              <w:tr2bl w:val="nil"/>
            </w:tcBorders>
            <w:shd w:val="clear" w:color="auto" w:fill="auto"/>
            <w:noWrap w:val="0"/>
            <w:vAlign w:val="center"/>
          </w:tcPr>
          <w:p w14:paraId="4E5E4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项目立项</w:t>
            </w:r>
          </w:p>
        </w:tc>
        <w:tc>
          <w:tcPr>
            <w:tcW w:w="2836" w:type="dxa"/>
            <w:tcBorders>
              <w:tl2br w:val="nil"/>
              <w:tr2bl w:val="nil"/>
            </w:tcBorders>
            <w:shd w:val="clear" w:color="auto" w:fill="auto"/>
            <w:noWrap w:val="0"/>
            <w:vAlign w:val="center"/>
          </w:tcPr>
          <w:p w14:paraId="016981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立项依据充分性</w:t>
            </w:r>
          </w:p>
        </w:tc>
        <w:tc>
          <w:tcPr>
            <w:tcW w:w="1084" w:type="dxa"/>
            <w:tcBorders>
              <w:tl2br w:val="nil"/>
              <w:tr2bl w:val="nil"/>
            </w:tcBorders>
            <w:shd w:val="clear" w:color="auto" w:fill="auto"/>
            <w:noWrap w:val="0"/>
            <w:vAlign w:val="center"/>
          </w:tcPr>
          <w:p w14:paraId="512966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48A824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0686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continue"/>
            <w:tcBorders>
              <w:left w:val="nil"/>
              <w:tl2br w:val="nil"/>
              <w:tr2bl w:val="nil"/>
            </w:tcBorders>
            <w:shd w:val="clear" w:color="auto" w:fill="auto"/>
            <w:noWrap w:val="0"/>
            <w:vAlign w:val="center"/>
          </w:tcPr>
          <w:p w14:paraId="483E91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shd w:val="clear" w:color="auto" w:fill="auto"/>
            <w:noWrap w:val="0"/>
            <w:vAlign w:val="center"/>
          </w:tcPr>
          <w:p w14:paraId="504DAC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11" w:type="dxa"/>
            <w:vMerge w:val="continue"/>
            <w:tcBorders>
              <w:tl2br w:val="nil"/>
              <w:tr2bl w:val="nil"/>
            </w:tcBorders>
            <w:shd w:val="clear" w:color="auto" w:fill="auto"/>
            <w:noWrap w:val="0"/>
            <w:vAlign w:val="center"/>
          </w:tcPr>
          <w:p w14:paraId="7D3867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36" w:type="dxa"/>
            <w:tcBorders>
              <w:tl2br w:val="nil"/>
              <w:tr2bl w:val="nil"/>
            </w:tcBorders>
            <w:shd w:val="clear" w:color="auto" w:fill="auto"/>
            <w:noWrap w:val="0"/>
            <w:vAlign w:val="center"/>
          </w:tcPr>
          <w:p w14:paraId="19F23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立项程序规范性</w:t>
            </w:r>
          </w:p>
        </w:tc>
        <w:tc>
          <w:tcPr>
            <w:tcW w:w="1084" w:type="dxa"/>
            <w:tcBorders>
              <w:tl2br w:val="nil"/>
              <w:tr2bl w:val="nil"/>
            </w:tcBorders>
            <w:shd w:val="clear" w:color="auto" w:fill="auto"/>
            <w:noWrap w:val="0"/>
            <w:vAlign w:val="center"/>
          </w:tcPr>
          <w:p w14:paraId="15F89A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127A3C7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453D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continue"/>
            <w:tcBorders>
              <w:left w:val="nil"/>
              <w:tl2br w:val="nil"/>
              <w:tr2bl w:val="nil"/>
            </w:tcBorders>
            <w:shd w:val="clear" w:color="auto" w:fill="auto"/>
            <w:noWrap w:val="0"/>
            <w:vAlign w:val="center"/>
          </w:tcPr>
          <w:p w14:paraId="6580E8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shd w:val="clear" w:color="auto" w:fill="auto"/>
            <w:noWrap w:val="0"/>
            <w:vAlign w:val="center"/>
          </w:tcPr>
          <w:p w14:paraId="40A263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11" w:type="dxa"/>
            <w:vMerge w:val="restart"/>
            <w:tcBorders>
              <w:tl2br w:val="nil"/>
              <w:tr2bl w:val="nil"/>
            </w:tcBorders>
            <w:shd w:val="clear" w:color="auto" w:fill="auto"/>
            <w:noWrap w:val="0"/>
            <w:vAlign w:val="center"/>
          </w:tcPr>
          <w:p w14:paraId="1E27C6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w:t>
            </w:r>
          </w:p>
        </w:tc>
        <w:tc>
          <w:tcPr>
            <w:tcW w:w="2836" w:type="dxa"/>
            <w:tcBorders>
              <w:tl2br w:val="nil"/>
              <w:tr2bl w:val="nil"/>
            </w:tcBorders>
            <w:shd w:val="clear" w:color="auto" w:fill="auto"/>
            <w:noWrap w:val="0"/>
            <w:vAlign w:val="center"/>
          </w:tcPr>
          <w:p w14:paraId="0C33B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绩效目标合理性</w:t>
            </w:r>
          </w:p>
        </w:tc>
        <w:tc>
          <w:tcPr>
            <w:tcW w:w="1084" w:type="dxa"/>
            <w:tcBorders>
              <w:tl2br w:val="nil"/>
              <w:tr2bl w:val="nil"/>
            </w:tcBorders>
            <w:shd w:val="clear" w:color="auto" w:fill="auto"/>
            <w:noWrap w:val="0"/>
            <w:vAlign w:val="center"/>
          </w:tcPr>
          <w:p w14:paraId="306F66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5F8F52F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r>
      <w:tr w14:paraId="360C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continue"/>
            <w:tcBorders>
              <w:left w:val="nil"/>
              <w:tl2br w:val="nil"/>
              <w:tr2bl w:val="nil"/>
            </w:tcBorders>
            <w:shd w:val="clear" w:color="auto" w:fill="auto"/>
            <w:noWrap w:val="0"/>
            <w:vAlign w:val="center"/>
          </w:tcPr>
          <w:p w14:paraId="0BEA21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shd w:val="clear" w:color="auto" w:fill="auto"/>
            <w:noWrap w:val="0"/>
            <w:vAlign w:val="center"/>
          </w:tcPr>
          <w:p w14:paraId="58FBA3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11" w:type="dxa"/>
            <w:vMerge w:val="continue"/>
            <w:tcBorders>
              <w:tl2br w:val="nil"/>
              <w:tr2bl w:val="nil"/>
            </w:tcBorders>
            <w:shd w:val="clear" w:color="auto" w:fill="auto"/>
            <w:noWrap w:val="0"/>
            <w:vAlign w:val="center"/>
          </w:tcPr>
          <w:p w14:paraId="1CDDB4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36" w:type="dxa"/>
            <w:tcBorders>
              <w:tl2br w:val="nil"/>
              <w:tr2bl w:val="nil"/>
            </w:tcBorders>
            <w:shd w:val="clear" w:color="auto" w:fill="auto"/>
            <w:noWrap w:val="0"/>
            <w:vAlign w:val="center"/>
          </w:tcPr>
          <w:p w14:paraId="30BB55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绩效指标明确性</w:t>
            </w:r>
          </w:p>
        </w:tc>
        <w:tc>
          <w:tcPr>
            <w:tcW w:w="1084" w:type="dxa"/>
            <w:tcBorders>
              <w:tl2br w:val="nil"/>
              <w:tr2bl w:val="nil"/>
            </w:tcBorders>
            <w:shd w:val="clear" w:color="auto" w:fill="auto"/>
            <w:noWrap w:val="0"/>
            <w:vAlign w:val="center"/>
          </w:tcPr>
          <w:p w14:paraId="3FE3A0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17C9EE9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r>
      <w:tr w14:paraId="3BC9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continue"/>
            <w:tcBorders>
              <w:left w:val="nil"/>
              <w:tl2br w:val="nil"/>
              <w:tr2bl w:val="nil"/>
            </w:tcBorders>
            <w:shd w:val="clear" w:color="auto" w:fill="auto"/>
            <w:noWrap w:val="0"/>
            <w:vAlign w:val="center"/>
          </w:tcPr>
          <w:p w14:paraId="308DC0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shd w:val="clear" w:color="auto" w:fill="auto"/>
            <w:noWrap w:val="0"/>
            <w:vAlign w:val="center"/>
          </w:tcPr>
          <w:p w14:paraId="7EDACD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11" w:type="dxa"/>
            <w:vMerge w:val="restart"/>
            <w:tcBorders>
              <w:tl2br w:val="nil"/>
              <w:tr2bl w:val="nil"/>
            </w:tcBorders>
            <w:shd w:val="clear" w:color="auto" w:fill="auto"/>
            <w:noWrap w:val="0"/>
            <w:vAlign w:val="center"/>
          </w:tcPr>
          <w:p w14:paraId="386FF0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资金投入</w:t>
            </w:r>
          </w:p>
        </w:tc>
        <w:tc>
          <w:tcPr>
            <w:tcW w:w="2836" w:type="dxa"/>
            <w:tcBorders>
              <w:tl2br w:val="nil"/>
              <w:tr2bl w:val="nil"/>
            </w:tcBorders>
            <w:shd w:val="clear" w:color="auto" w:fill="auto"/>
            <w:noWrap w:val="0"/>
            <w:vAlign w:val="center"/>
          </w:tcPr>
          <w:p w14:paraId="15EBE9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预算编制科学性</w:t>
            </w:r>
          </w:p>
        </w:tc>
        <w:tc>
          <w:tcPr>
            <w:tcW w:w="1084" w:type="dxa"/>
            <w:tcBorders>
              <w:tl2br w:val="nil"/>
              <w:tr2bl w:val="nil"/>
            </w:tcBorders>
            <w:shd w:val="clear" w:color="auto" w:fill="auto"/>
            <w:noWrap w:val="0"/>
            <w:vAlign w:val="center"/>
          </w:tcPr>
          <w:p w14:paraId="1A4DFE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320E691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299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58" w:type="dxa"/>
            <w:vMerge w:val="continue"/>
            <w:tcBorders>
              <w:left w:val="nil"/>
              <w:tl2br w:val="nil"/>
              <w:tr2bl w:val="nil"/>
            </w:tcBorders>
            <w:shd w:val="clear" w:color="auto" w:fill="auto"/>
            <w:noWrap w:val="0"/>
            <w:vAlign w:val="center"/>
          </w:tcPr>
          <w:p w14:paraId="0E4A73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5" w:type="dxa"/>
            <w:vMerge w:val="continue"/>
            <w:tcBorders>
              <w:tl2br w:val="nil"/>
              <w:tr2bl w:val="nil"/>
            </w:tcBorders>
            <w:shd w:val="clear" w:color="auto" w:fill="auto"/>
            <w:noWrap w:val="0"/>
            <w:vAlign w:val="center"/>
          </w:tcPr>
          <w:p w14:paraId="7C4EB8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611" w:type="dxa"/>
            <w:vMerge w:val="continue"/>
            <w:tcBorders>
              <w:tl2br w:val="nil"/>
              <w:tr2bl w:val="nil"/>
            </w:tcBorders>
            <w:shd w:val="clear" w:color="auto" w:fill="auto"/>
            <w:noWrap w:val="0"/>
            <w:vAlign w:val="center"/>
          </w:tcPr>
          <w:p w14:paraId="5B7A0F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836" w:type="dxa"/>
            <w:tcBorders>
              <w:tl2br w:val="nil"/>
              <w:tr2bl w:val="nil"/>
            </w:tcBorders>
            <w:shd w:val="clear" w:color="auto" w:fill="auto"/>
            <w:noWrap w:val="0"/>
            <w:vAlign w:val="center"/>
          </w:tcPr>
          <w:p w14:paraId="1DDDBB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资金分配合理性</w:t>
            </w:r>
          </w:p>
        </w:tc>
        <w:tc>
          <w:tcPr>
            <w:tcW w:w="1084" w:type="dxa"/>
            <w:tcBorders>
              <w:tl2br w:val="nil"/>
              <w:tr2bl w:val="nil"/>
            </w:tcBorders>
            <w:shd w:val="clear" w:color="auto" w:fill="auto"/>
            <w:noWrap w:val="0"/>
            <w:vAlign w:val="center"/>
          </w:tcPr>
          <w:p w14:paraId="770AC0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084" w:type="dxa"/>
            <w:tcBorders>
              <w:right w:val="nil"/>
              <w:tl2br w:val="nil"/>
              <w:tr2bl w:val="nil"/>
            </w:tcBorders>
            <w:shd w:val="clear" w:color="auto" w:fill="auto"/>
            <w:noWrap w:val="0"/>
            <w:vAlign w:val="center"/>
          </w:tcPr>
          <w:p w14:paraId="63555F8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376B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58" w:type="dxa"/>
            <w:tcBorders>
              <w:left w:val="nil"/>
              <w:tl2br w:val="nil"/>
              <w:tr2bl w:val="nil"/>
            </w:tcBorders>
            <w:shd w:val="clear" w:color="auto" w:fill="auto"/>
            <w:noWrap w:val="0"/>
            <w:vAlign w:val="center"/>
          </w:tcPr>
          <w:p w14:paraId="3CEEC66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合计</w:t>
            </w:r>
          </w:p>
        </w:tc>
        <w:tc>
          <w:tcPr>
            <w:tcW w:w="805" w:type="dxa"/>
            <w:tcBorders>
              <w:tl2br w:val="nil"/>
              <w:tr2bl w:val="nil"/>
            </w:tcBorders>
            <w:shd w:val="clear" w:color="auto" w:fill="auto"/>
            <w:noWrap w:val="0"/>
            <w:vAlign w:val="center"/>
          </w:tcPr>
          <w:p w14:paraId="633AF04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12</w:t>
            </w:r>
          </w:p>
        </w:tc>
        <w:tc>
          <w:tcPr>
            <w:tcW w:w="1611" w:type="dxa"/>
            <w:tcBorders>
              <w:tl2br w:val="nil"/>
              <w:tr2bl w:val="nil"/>
            </w:tcBorders>
            <w:shd w:val="clear" w:color="auto" w:fill="auto"/>
            <w:noWrap w:val="0"/>
            <w:vAlign w:val="center"/>
          </w:tcPr>
          <w:p w14:paraId="60E303E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c>
          <w:tcPr>
            <w:tcW w:w="2836" w:type="dxa"/>
            <w:tcBorders>
              <w:tl2br w:val="nil"/>
              <w:tr2bl w:val="nil"/>
            </w:tcBorders>
            <w:shd w:val="clear" w:color="auto" w:fill="auto"/>
            <w:noWrap w:val="0"/>
            <w:vAlign w:val="center"/>
          </w:tcPr>
          <w:p w14:paraId="296A92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p>
        </w:tc>
        <w:tc>
          <w:tcPr>
            <w:tcW w:w="1084" w:type="dxa"/>
            <w:tcBorders>
              <w:tl2br w:val="nil"/>
              <w:tr2bl w:val="nil"/>
            </w:tcBorders>
            <w:shd w:val="clear" w:color="auto" w:fill="auto"/>
            <w:noWrap w:val="0"/>
            <w:vAlign w:val="center"/>
          </w:tcPr>
          <w:p w14:paraId="47C0EAF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fldChar w:fldCharType="begin"/>
            </w:r>
            <w:r>
              <w:rPr>
                <w:rFonts w:hint="eastAsia" w:ascii="仿宋_GB2312" w:hAnsi="仿宋_GB2312" w:eastAsia="仿宋_GB2312" w:cs="仿宋_GB2312"/>
                <w:b/>
                <w:bCs/>
                <w:color w:val="auto"/>
                <w:sz w:val="24"/>
                <w:szCs w:val="24"/>
                <w:highlight w:val="none"/>
              </w:rPr>
              <w:instrText xml:space="preserve"> = sum(E2:E7) \* MERGEFORMAT </w:instrText>
            </w:r>
            <w:r>
              <w:rPr>
                <w:rFonts w:hint="eastAsia" w:ascii="仿宋_GB2312" w:hAnsi="仿宋_GB2312" w:eastAsia="仿宋_GB2312" w:cs="仿宋_GB2312"/>
                <w:b/>
                <w:bCs/>
                <w:color w:val="auto"/>
                <w:sz w:val="24"/>
                <w:szCs w:val="24"/>
                <w:highlight w:val="none"/>
              </w:rPr>
              <w:fldChar w:fldCharType="separate"/>
            </w:r>
            <w:r>
              <w:rPr>
                <w:rFonts w:hint="eastAsia" w:ascii="仿宋_GB2312" w:hAnsi="仿宋_GB2312" w:eastAsia="仿宋_GB2312" w:cs="仿宋_GB2312"/>
                <w:b/>
                <w:bCs/>
                <w:color w:val="auto"/>
                <w:sz w:val="24"/>
                <w:szCs w:val="24"/>
                <w:highlight w:val="none"/>
              </w:rPr>
              <w:t>12</w:t>
            </w:r>
            <w:r>
              <w:rPr>
                <w:rFonts w:hint="eastAsia" w:ascii="仿宋_GB2312" w:hAnsi="仿宋_GB2312" w:eastAsia="仿宋_GB2312" w:cs="仿宋_GB2312"/>
                <w:b/>
                <w:bCs/>
                <w:color w:val="auto"/>
                <w:sz w:val="24"/>
                <w:szCs w:val="24"/>
                <w:highlight w:val="none"/>
              </w:rPr>
              <w:fldChar w:fldCharType="end"/>
            </w:r>
          </w:p>
        </w:tc>
        <w:tc>
          <w:tcPr>
            <w:tcW w:w="1084" w:type="dxa"/>
            <w:tcBorders>
              <w:right w:val="nil"/>
              <w:tl2br w:val="nil"/>
              <w:tr2bl w:val="nil"/>
            </w:tcBorders>
            <w:shd w:val="clear" w:color="auto" w:fill="auto"/>
            <w:noWrap w:val="0"/>
            <w:vAlign w:val="center"/>
          </w:tcPr>
          <w:p w14:paraId="0D21F0B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sum(F2:F7)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11.2</w:t>
            </w:r>
            <w:r>
              <w:rPr>
                <w:rFonts w:hint="eastAsia" w:ascii="仿宋_GB2312" w:hAnsi="仿宋_GB2312" w:eastAsia="仿宋_GB2312" w:cs="仿宋_GB2312"/>
                <w:b/>
                <w:bCs/>
                <w:color w:val="auto"/>
                <w:sz w:val="24"/>
                <w:szCs w:val="24"/>
                <w:highlight w:val="none"/>
                <w:lang w:val="en-US" w:eastAsia="zh-CN"/>
              </w:rPr>
              <w:fldChar w:fldCharType="end"/>
            </w:r>
          </w:p>
        </w:tc>
      </w:tr>
    </w:tbl>
    <w:p w14:paraId="2BCE2928">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1.项目立项方面</w:t>
      </w:r>
    </w:p>
    <w:p w14:paraId="5C9DFEA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（1）立项依据充分性方面。</w:t>
      </w:r>
      <w:r>
        <w:rPr>
          <w:rFonts w:ascii="仿宋_GB2312" w:hAnsi="仿宋_GB2312" w:eastAsia="仿宋_GB2312" w:cs="仿宋_GB2312"/>
          <w:color w:val="auto"/>
          <w:kern w:val="2"/>
          <w:sz w:val="32"/>
          <w:szCs w:val="32"/>
          <w:lang w:bidi="ar-SA"/>
        </w:rPr>
        <w:t>项目的立项符合国家相关法律法规和政策要求，符合国家财政专项资金的支持方向，并充分契合扶风县杏林镇污水处理厂稳定运行的实际需求。</w:t>
      </w:r>
    </w:p>
    <w:p w14:paraId="73ECDC7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（2）立项程序规范性方面。项目基本能按照规定的申请程序、审核程序、评估程序进行立项，程序规范。</w:t>
      </w:r>
    </w:p>
    <w:p w14:paraId="14D6004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2.绩效目标方面</w:t>
      </w:r>
    </w:p>
    <w:p w14:paraId="418459C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（1）绩效目标合理性方面。项目有预期绩效目标，但效益指标设置不够全面、合理</w:t>
      </w:r>
      <w:r>
        <w:rPr>
          <w:rFonts w:hint="eastAsia" w:ascii="仿宋_GB2312" w:hAnsi="仿宋_GB2312" w:eastAsia="仿宋_GB2312" w:cs="仿宋_GB2312"/>
          <w:color w:val="auto"/>
          <w:kern w:val="2"/>
          <w:sz w:val="32"/>
          <w:szCs w:val="32"/>
          <w:highlight w:val="none"/>
          <w:lang w:val="en-US" w:eastAsia="zh-CN" w:bidi="ar-SA"/>
        </w:rPr>
        <w:t>。</w:t>
      </w:r>
    </w:p>
    <w:p w14:paraId="2DC0C93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（2）绩效指标明确性方面。项目有预期绩效目标，但效益指标设置</w:t>
      </w:r>
      <w:r>
        <w:rPr>
          <w:rFonts w:hint="eastAsia" w:ascii="仿宋_GB2312" w:hAnsi="仿宋_GB2312" w:eastAsia="仿宋_GB2312" w:cs="仿宋_GB2312"/>
          <w:color w:val="auto"/>
          <w:kern w:val="2"/>
          <w:sz w:val="32"/>
          <w:szCs w:val="32"/>
          <w:highlight w:val="none"/>
          <w:lang w:val="en-US" w:eastAsia="zh-CN" w:bidi="ar-SA"/>
        </w:rPr>
        <w:t>不够明确。</w:t>
      </w:r>
    </w:p>
    <w:p w14:paraId="325795E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3.资金投入方面</w:t>
      </w:r>
    </w:p>
    <w:p w14:paraId="4B69432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（1）预算编制科学性方面。</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预算资金</w:t>
      </w:r>
      <w:r>
        <w:rPr>
          <w:rFonts w:ascii="仿宋_GB2312" w:hAnsi="仿宋_GB2312" w:eastAsia="仿宋_GB2312" w:cs="仿宋_GB2312"/>
          <w:color w:val="auto"/>
          <w:kern w:val="2"/>
          <w:sz w:val="32"/>
          <w:szCs w:val="32"/>
          <w:lang w:bidi="ar-SA"/>
        </w:rPr>
        <w:t>与实际所需资金</w:t>
      </w:r>
      <w:r>
        <w:rPr>
          <w:rFonts w:hint="eastAsia" w:ascii="仿宋_GB2312" w:hAnsi="仿宋_GB2312" w:eastAsia="仿宋_GB2312" w:cs="仿宋_GB2312"/>
          <w:color w:val="auto"/>
          <w:kern w:val="2"/>
          <w:sz w:val="32"/>
          <w:szCs w:val="32"/>
          <w:lang w:val="en-US" w:eastAsia="zh-CN" w:bidi="ar-SA"/>
        </w:rPr>
        <w:t>基本匹配</w:t>
      </w:r>
      <w:r>
        <w:rPr>
          <w:rFonts w:ascii="仿宋_GB2312" w:hAnsi="仿宋_GB2312" w:eastAsia="仿宋_GB2312" w:cs="仿宋_GB2312"/>
          <w:color w:val="auto"/>
          <w:kern w:val="2"/>
          <w:sz w:val="32"/>
          <w:szCs w:val="32"/>
          <w:lang w:bidi="ar-SA"/>
        </w:rPr>
        <w:t>，预算编制精</w:t>
      </w:r>
      <w:r>
        <w:rPr>
          <w:rFonts w:hint="eastAsia" w:ascii="仿宋_GB2312" w:hAnsi="仿宋_GB2312" w:eastAsia="仿宋_GB2312" w:cs="仿宋_GB2312"/>
          <w:color w:val="auto"/>
          <w:kern w:val="2"/>
          <w:sz w:val="32"/>
          <w:szCs w:val="32"/>
          <w:lang w:val="en-US" w:eastAsia="zh-CN" w:bidi="ar-SA"/>
        </w:rPr>
        <w:t>准</w:t>
      </w:r>
      <w:r>
        <w:rPr>
          <w:rFonts w:ascii="仿宋_GB2312" w:hAnsi="仿宋_GB2312" w:eastAsia="仿宋_GB2312" w:cs="仿宋_GB2312"/>
          <w:color w:val="auto"/>
          <w:kern w:val="2"/>
          <w:sz w:val="32"/>
          <w:szCs w:val="32"/>
          <w:lang w:bidi="ar-SA"/>
        </w:rPr>
        <w:t>。</w:t>
      </w:r>
    </w:p>
    <w:p w14:paraId="44C6919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（2）资金分配合理性方面。</w:t>
      </w:r>
      <w:r>
        <w:rPr>
          <w:rFonts w:ascii="仿宋_GB2312" w:hAnsi="仿宋_GB2312" w:eastAsia="仿宋_GB2312" w:cs="仿宋_GB2312"/>
          <w:color w:val="auto"/>
          <w:kern w:val="2"/>
          <w:sz w:val="32"/>
          <w:szCs w:val="32"/>
          <w:lang w:bidi="ar-SA"/>
        </w:rPr>
        <w:t>预算资金的分配依据充分，分配额度</w:t>
      </w:r>
      <w:r>
        <w:rPr>
          <w:rFonts w:hint="eastAsia" w:ascii="仿宋_GB2312" w:hAnsi="仿宋_GB2312" w:eastAsia="仿宋_GB2312" w:cs="仿宋_GB2312"/>
          <w:color w:val="auto"/>
          <w:kern w:val="2"/>
          <w:sz w:val="32"/>
          <w:szCs w:val="32"/>
          <w:lang w:val="en-US" w:eastAsia="zh-CN" w:bidi="ar-SA"/>
        </w:rPr>
        <w:t>基本</w:t>
      </w:r>
      <w:r>
        <w:rPr>
          <w:rFonts w:ascii="仿宋_GB2312" w:hAnsi="仿宋_GB2312" w:eastAsia="仿宋_GB2312" w:cs="仿宋_GB2312"/>
          <w:color w:val="auto"/>
          <w:kern w:val="2"/>
          <w:sz w:val="32"/>
          <w:szCs w:val="32"/>
          <w:lang w:bidi="ar-SA"/>
        </w:rPr>
        <w:t>合理，与项目单位的实际情况相符。</w:t>
      </w:r>
    </w:p>
    <w:p w14:paraId="6591B48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评价组认为，项目决策从整体上看，立项规范、决策依据较为充分，程序合规，符合相关政策。</w:t>
      </w:r>
      <w:r>
        <w:rPr>
          <w:rFonts w:hint="eastAsia" w:ascii="仿宋_GB2312" w:hAnsi="仿宋_GB2312" w:eastAsia="仿宋_GB2312" w:cs="仿宋_GB2312"/>
          <w:color w:val="auto"/>
          <w:kern w:val="2"/>
          <w:sz w:val="32"/>
          <w:szCs w:val="32"/>
          <w:lang w:val="en-US" w:eastAsia="zh-CN" w:bidi="ar-SA"/>
        </w:rPr>
        <w:t>但</w:t>
      </w:r>
      <w:r>
        <w:rPr>
          <w:rFonts w:ascii="仿宋_GB2312" w:hAnsi="仿宋_GB2312" w:eastAsia="仿宋_GB2312" w:cs="仿宋_GB2312"/>
          <w:color w:val="auto"/>
          <w:kern w:val="2"/>
          <w:sz w:val="32"/>
          <w:szCs w:val="32"/>
          <w:lang w:bidi="ar-SA"/>
        </w:rPr>
        <w:t>项目绩效目标的</w:t>
      </w:r>
      <w:r>
        <w:rPr>
          <w:rFonts w:hint="eastAsia" w:ascii="仿宋_GB2312" w:hAnsi="仿宋_GB2312" w:eastAsia="仿宋_GB2312" w:cs="仿宋_GB2312"/>
          <w:color w:val="auto"/>
          <w:kern w:val="2"/>
          <w:sz w:val="32"/>
          <w:szCs w:val="32"/>
          <w:lang w:val="en-US" w:eastAsia="zh-CN" w:bidi="ar-SA"/>
        </w:rPr>
        <w:t>设置</w:t>
      </w:r>
      <w:r>
        <w:rPr>
          <w:rFonts w:ascii="仿宋_GB2312" w:hAnsi="仿宋_GB2312" w:eastAsia="仿宋_GB2312" w:cs="仿宋_GB2312"/>
          <w:color w:val="auto"/>
          <w:kern w:val="2"/>
          <w:sz w:val="32"/>
          <w:szCs w:val="32"/>
          <w:lang w:bidi="ar-SA"/>
        </w:rPr>
        <w:t>存在不足</w:t>
      </w:r>
      <w:r>
        <w:rPr>
          <w:rFonts w:hint="eastAsia" w:ascii="仿宋_GB2312" w:hAnsi="仿宋_GB2312" w:eastAsia="仿宋_GB2312" w:cs="仿宋_GB2312"/>
          <w:color w:val="auto"/>
          <w:sz w:val="32"/>
          <w:szCs w:val="32"/>
          <w:highlight w:val="none"/>
          <w:lang w:val="en-US" w:eastAsia="zh-CN"/>
        </w:rPr>
        <w:t>。</w:t>
      </w:r>
    </w:p>
    <w:p w14:paraId="61C7116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（二）项目过程情况</w:t>
      </w:r>
    </w:p>
    <w:p w14:paraId="62A0C3E9">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项目过程从资金管理和组织实施两个方面进行评价。项目过程满分17分，得分14分。具体得分详见表8。</w:t>
      </w:r>
    </w:p>
    <w:p w14:paraId="4B963EE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表8  项目过程绩效指标分析表</w:t>
      </w:r>
    </w:p>
    <w:tbl>
      <w:tblPr>
        <w:tblStyle w:val="15"/>
        <w:tblW w:w="857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801"/>
        <w:gridCol w:w="1542"/>
        <w:gridCol w:w="2629"/>
        <w:gridCol w:w="957"/>
        <w:gridCol w:w="1167"/>
      </w:tblGrid>
      <w:tr w14:paraId="6F10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trPr>
        <w:tc>
          <w:tcPr>
            <w:tcW w:w="1481" w:type="dxa"/>
            <w:tcBorders>
              <w:left w:val="nil"/>
              <w:tl2br w:val="nil"/>
              <w:tr2bl w:val="nil"/>
            </w:tcBorders>
            <w:shd w:val="clear" w:color="auto" w:fill="D7D7D7"/>
            <w:noWrap w:val="0"/>
            <w:vAlign w:val="center"/>
          </w:tcPr>
          <w:p w14:paraId="64B8BC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01" w:type="dxa"/>
            <w:tcBorders>
              <w:tl2br w:val="nil"/>
              <w:tr2bl w:val="nil"/>
            </w:tcBorders>
            <w:shd w:val="clear" w:color="auto" w:fill="D7D7D7"/>
            <w:noWrap w:val="0"/>
            <w:vAlign w:val="center"/>
          </w:tcPr>
          <w:p w14:paraId="339432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542" w:type="dxa"/>
            <w:tcBorders>
              <w:tl2br w:val="nil"/>
              <w:tr2bl w:val="nil"/>
            </w:tcBorders>
            <w:shd w:val="clear" w:color="auto" w:fill="D7D7D7"/>
            <w:noWrap w:val="0"/>
            <w:vAlign w:val="center"/>
          </w:tcPr>
          <w:p w14:paraId="5B7C46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629" w:type="dxa"/>
            <w:tcBorders>
              <w:tl2br w:val="nil"/>
              <w:tr2bl w:val="nil"/>
            </w:tcBorders>
            <w:shd w:val="clear" w:color="auto" w:fill="D7D7D7"/>
            <w:noWrap w:val="0"/>
            <w:vAlign w:val="center"/>
          </w:tcPr>
          <w:p w14:paraId="7845C1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57" w:type="dxa"/>
            <w:tcBorders>
              <w:tl2br w:val="nil"/>
              <w:tr2bl w:val="nil"/>
            </w:tcBorders>
            <w:shd w:val="clear" w:color="auto" w:fill="D7D7D7"/>
            <w:noWrap w:val="0"/>
            <w:vAlign w:val="center"/>
          </w:tcPr>
          <w:p w14:paraId="721305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67" w:type="dxa"/>
            <w:tcBorders>
              <w:right w:val="nil"/>
              <w:tl2br w:val="nil"/>
              <w:tr2bl w:val="nil"/>
            </w:tcBorders>
            <w:shd w:val="clear" w:color="auto" w:fill="D7D7D7"/>
            <w:noWrap w:val="0"/>
            <w:vAlign w:val="center"/>
          </w:tcPr>
          <w:p w14:paraId="169CD0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5E3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vMerge w:val="restart"/>
            <w:tcBorders>
              <w:left w:val="nil"/>
              <w:tl2br w:val="nil"/>
              <w:tr2bl w:val="nil"/>
            </w:tcBorders>
            <w:noWrap w:val="0"/>
            <w:vAlign w:val="center"/>
          </w:tcPr>
          <w:p w14:paraId="132DCF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过程</w:t>
            </w:r>
          </w:p>
        </w:tc>
        <w:tc>
          <w:tcPr>
            <w:tcW w:w="801" w:type="dxa"/>
            <w:vMerge w:val="restart"/>
            <w:tcBorders>
              <w:tl2br w:val="nil"/>
              <w:tr2bl w:val="nil"/>
            </w:tcBorders>
            <w:noWrap w:val="0"/>
            <w:vAlign w:val="center"/>
          </w:tcPr>
          <w:p w14:paraId="3714271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17</w:t>
            </w:r>
          </w:p>
        </w:tc>
        <w:tc>
          <w:tcPr>
            <w:tcW w:w="1542" w:type="dxa"/>
            <w:vMerge w:val="restart"/>
            <w:tcBorders>
              <w:tl2br w:val="nil"/>
              <w:tr2bl w:val="nil"/>
            </w:tcBorders>
            <w:noWrap w:val="0"/>
            <w:vAlign w:val="center"/>
          </w:tcPr>
          <w:p w14:paraId="59170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资金管理</w:t>
            </w:r>
          </w:p>
        </w:tc>
        <w:tc>
          <w:tcPr>
            <w:tcW w:w="2629" w:type="dxa"/>
            <w:tcBorders>
              <w:tl2br w:val="nil"/>
              <w:tr2bl w:val="nil"/>
            </w:tcBorders>
            <w:noWrap w:val="0"/>
            <w:vAlign w:val="center"/>
          </w:tcPr>
          <w:p w14:paraId="506F9E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资金到位率</w:t>
            </w:r>
          </w:p>
        </w:tc>
        <w:tc>
          <w:tcPr>
            <w:tcW w:w="957" w:type="dxa"/>
            <w:tcBorders>
              <w:tl2br w:val="nil"/>
              <w:tr2bl w:val="nil"/>
            </w:tcBorders>
            <w:noWrap w:val="0"/>
            <w:vAlign w:val="center"/>
          </w:tcPr>
          <w:p w14:paraId="49251A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67" w:type="dxa"/>
            <w:tcBorders>
              <w:bottom w:val="single" w:color="000000" w:sz="4" w:space="0"/>
              <w:right w:val="nil"/>
              <w:tl2br w:val="nil"/>
              <w:tr2bl w:val="nil"/>
            </w:tcBorders>
            <w:noWrap w:val="0"/>
            <w:vAlign w:val="center"/>
          </w:tcPr>
          <w:p w14:paraId="2779C3C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3308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vMerge w:val="continue"/>
            <w:tcBorders>
              <w:left w:val="nil"/>
              <w:tl2br w:val="nil"/>
              <w:tr2bl w:val="nil"/>
            </w:tcBorders>
            <w:noWrap w:val="0"/>
            <w:vAlign w:val="center"/>
          </w:tcPr>
          <w:p w14:paraId="5DFC8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1" w:type="dxa"/>
            <w:vMerge w:val="continue"/>
            <w:tcBorders>
              <w:tl2br w:val="nil"/>
              <w:tr2bl w:val="nil"/>
            </w:tcBorders>
            <w:noWrap w:val="0"/>
            <w:vAlign w:val="center"/>
          </w:tcPr>
          <w:p w14:paraId="09C8C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42" w:type="dxa"/>
            <w:vMerge w:val="continue"/>
            <w:tcBorders>
              <w:tl2br w:val="nil"/>
              <w:tr2bl w:val="nil"/>
            </w:tcBorders>
            <w:noWrap w:val="0"/>
            <w:vAlign w:val="center"/>
          </w:tcPr>
          <w:p w14:paraId="264060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29" w:type="dxa"/>
            <w:tcBorders>
              <w:tl2br w:val="nil"/>
              <w:tr2bl w:val="nil"/>
            </w:tcBorders>
            <w:noWrap w:val="0"/>
            <w:vAlign w:val="center"/>
          </w:tcPr>
          <w:p w14:paraId="310421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预算执行率</w:t>
            </w:r>
          </w:p>
        </w:tc>
        <w:tc>
          <w:tcPr>
            <w:tcW w:w="957" w:type="dxa"/>
            <w:tcBorders>
              <w:tl2br w:val="nil"/>
              <w:tr2bl w:val="nil"/>
            </w:tcBorders>
            <w:noWrap w:val="0"/>
            <w:vAlign w:val="center"/>
          </w:tcPr>
          <w:p w14:paraId="1C7AD0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67" w:type="dxa"/>
            <w:tcBorders>
              <w:top w:val="single" w:color="000000" w:sz="4" w:space="0"/>
              <w:bottom w:val="single" w:color="000000" w:sz="4" w:space="0"/>
              <w:right w:val="nil"/>
              <w:tl2br w:val="nil"/>
              <w:tr2bl w:val="nil"/>
            </w:tcBorders>
            <w:noWrap w:val="0"/>
            <w:vAlign w:val="center"/>
          </w:tcPr>
          <w:p w14:paraId="78FE933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0E67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vMerge w:val="continue"/>
            <w:tcBorders>
              <w:left w:val="nil"/>
              <w:tl2br w:val="nil"/>
              <w:tr2bl w:val="nil"/>
            </w:tcBorders>
            <w:noWrap w:val="0"/>
            <w:vAlign w:val="center"/>
          </w:tcPr>
          <w:p w14:paraId="0D7D6F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1" w:type="dxa"/>
            <w:vMerge w:val="continue"/>
            <w:tcBorders>
              <w:tl2br w:val="nil"/>
              <w:tr2bl w:val="nil"/>
            </w:tcBorders>
            <w:noWrap w:val="0"/>
            <w:vAlign w:val="center"/>
          </w:tcPr>
          <w:p w14:paraId="3BB20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42" w:type="dxa"/>
            <w:vMerge w:val="continue"/>
            <w:tcBorders>
              <w:tl2br w:val="nil"/>
              <w:tr2bl w:val="nil"/>
            </w:tcBorders>
            <w:noWrap w:val="0"/>
            <w:vAlign w:val="center"/>
          </w:tcPr>
          <w:p w14:paraId="4D3F77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29" w:type="dxa"/>
            <w:tcBorders>
              <w:tl2br w:val="nil"/>
              <w:tr2bl w:val="nil"/>
            </w:tcBorders>
            <w:noWrap w:val="0"/>
            <w:vAlign w:val="center"/>
          </w:tcPr>
          <w:p w14:paraId="1D3C8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资金使用合规性</w:t>
            </w:r>
          </w:p>
        </w:tc>
        <w:tc>
          <w:tcPr>
            <w:tcW w:w="957" w:type="dxa"/>
            <w:tcBorders>
              <w:tl2br w:val="nil"/>
              <w:tr2bl w:val="nil"/>
            </w:tcBorders>
            <w:noWrap w:val="0"/>
            <w:vAlign w:val="center"/>
          </w:tcPr>
          <w:p w14:paraId="602B8C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67" w:type="dxa"/>
            <w:tcBorders>
              <w:top w:val="single" w:color="000000" w:sz="4" w:space="0"/>
              <w:bottom w:val="single" w:color="000000" w:sz="4" w:space="0"/>
              <w:right w:val="nil"/>
              <w:tl2br w:val="nil"/>
              <w:tr2bl w:val="nil"/>
            </w:tcBorders>
            <w:noWrap w:val="0"/>
            <w:vAlign w:val="center"/>
          </w:tcPr>
          <w:p w14:paraId="6292117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790C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vMerge w:val="continue"/>
            <w:tcBorders>
              <w:left w:val="nil"/>
              <w:tl2br w:val="nil"/>
              <w:tr2bl w:val="nil"/>
            </w:tcBorders>
            <w:noWrap w:val="0"/>
            <w:vAlign w:val="center"/>
          </w:tcPr>
          <w:p w14:paraId="5E1631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1" w:type="dxa"/>
            <w:vMerge w:val="continue"/>
            <w:tcBorders>
              <w:tl2br w:val="nil"/>
              <w:tr2bl w:val="nil"/>
            </w:tcBorders>
            <w:noWrap w:val="0"/>
            <w:vAlign w:val="center"/>
          </w:tcPr>
          <w:p w14:paraId="7081BE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42" w:type="dxa"/>
            <w:vMerge w:val="restart"/>
            <w:tcBorders>
              <w:tl2br w:val="nil"/>
              <w:tr2bl w:val="nil"/>
            </w:tcBorders>
            <w:noWrap w:val="0"/>
            <w:vAlign w:val="center"/>
          </w:tcPr>
          <w:p w14:paraId="580AED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组织实施</w:t>
            </w:r>
          </w:p>
        </w:tc>
        <w:tc>
          <w:tcPr>
            <w:tcW w:w="2629" w:type="dxa"/>
            <w:tcBorders>
              <w:tl2br w:val="nil"/>
              <w:tr2bl w:val="nil"/>
            </w:tcBorders>
            <w:noWrap w:val="0"/>
            <w:vAlign w:val="center"/>
          </w:tcPr>
          <w:p w14:paraId="7DA7A0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管理制度健全性</w:t>
            </w:r>
          </w:p>
        </w:tc>
        <w:tc>
          <w:tcPr>
            <w:tcW w:w="957" w:type="dxa"/>
            <w:tcBorders>
              <w:tl2br w:val="nil"/>
              <w:tr2bl w:val="nil"/>
            </w:tcBorders>
            <w:noWrap w:val="0"/>
            <w:vAlign w:val="center"/>
          </w:tcPr>
          <w:p w14:paraId="664D2A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167" w:type="dxa"/>
            <w:tcBorders>
              <w:top w:val="single" w:color="000000" w:sz="4" w:space="0"/>
              <w:bottom w:val="single" w:color="000000" w:sz="4" w:space="0"/>
              <w:right w:val="nil"/>
              <w:tl2br w:val="nil"/>
              <w:tr2bl w:val="nil"/>
            </w:tcBorders>
            <w:noWrap w:val="0"/>
            <w:vAlign w:val="center"/>
          </w:tcPr>
          <w:p w14:paraId="424D79D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14:paraId="5E57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1" w:type="dxa"/>
            <w:vMerge w:val="continue"/>
            <w:tcBorders>
              <w:left w:val="nil"/>
              <w:tl2br w:val="nil"/>
              <w:tr2bl w:val="nil"/>
            </w:tcBorders>
            <w:noWrap w:val="0"/>
            <w:vAlign w:val="center"/>
          </w:tcPr>
          <w:p w14:paraId="4491AC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801" w:type="dxa"/>
            <w:vMerge w:val="continue"/>
            <w:tcBorders>
              <w:tl2br w:val="nil"/>
              <w:tr2bl w:val="nil"/>
            </w:tcBorders>
            <w:noWrap w:val="0"/>
            <w:vAlign w:val="center"/>
          </w:tcPr>
          <w:p w14:paraId="3D1506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542" w:type="dxa"/>
            <w:vMerge w:val="continue"/>
            <w:tcBorders>
              <w:tl2br w:val="nil"/>
              <w:tr2bl w:val="nil"/>
            </w:tcBorders>
            <w:noWrap w:val="0"/>
            <w:vAlign w:val="center"/>
          </w:tcPr>
          <w:p w14:paraId="2B41AA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2629" w:type="dxa"/>
            <w:tcBorders>
              <w:tl2br w:val="nil"/>
              <w:tr2bl w:val="nil"/>
            </w:tcBorders>
            <w:noWrap w:val="0"/>
            <w:vAlign w:val="center"/>
          </w:tcPr>
          <w:p w14:paraId="2F7596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制度执行有效性</w:t>
            </w:r>
          </w:p>
        </w:tc>
        <w:tc>
          <w:tcPr>
            <w:tcW w:w="957" w:type="dxa"/>
            <w:tcBorders>
              <w:tl2br w:val="nil"/>
              <w:tr2bl w:val="nil"/>
            </w:tcBorders>
            <w:noWrap w:val="0"/>
            <w:vAlign w:val="center"/>
          </w:tcPr>
          <w:p w14:paraId="3AB74E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167" w:type="dxa"/>
            <w:tcBorders>
              <w:top w:val="single" w:color="000000" w:sz="4" w:space="0"/>
              <w:bottom w:val="single" w:color="000000" w:sz="4" w:space="0"/>
              <w:right w:val="nil"/>
              <w:tl2br w:val="nil"/>
              <w:tr2bl w:val="nil"/>
            </w:tcBorders>
            <w:noWrap w:val="0"/>
            <w:vAlign w:val="center"/>
          </w:tcPr>
          <w:p w14:paraId="794654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r>
      <w:tr w14:paraId="2075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trPr>
        <w:tc>
          <w:tcPr>
            <w:tcW w:w="1481" w:type="dxa"/>
            <w:tcBorders>
              <w:left w:val="nil"/>
              <w:tl2br w:val="nil"/>
              <w:tr2bl w:val="nil"/>
            </w:tcBorders>
            <w:noWrap w:val="0"/>
            <w:vAlign w:val="center"/>
          </w:tcPr>
          <w:p w14:paraId="7453A62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tc>
        <w:tc>
          <w:tcPr>
            <w:tcW w:w="801" w:type="dxa"/>
            <w:tcBorders>
              <w:tl2br w:val="nil"/>
              <w:tr2bl w:val="nil"/>
            </w:tcBorders>
            <w:noWrap w:val="0"/>
            <w:vAlign w:val="center"/>
          </w:tcPr>
          <w:p w14:paraId="02B4173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1542" w:type="dxa"/>
            <w:tcBorders>
              <w:tl2br w:val="nil"/>
              <w:tr2bl w:val="nil"/>
            </w:tcBorders>
            <w:noWrap w:val="0"/>
            <w:vAlign w:val="center"/>
          </w:tcPr>
          <w:p w14:paraId="7D80875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2629" w:type="dxa"/>
            <w:tcBorders>
              <w:tl2br w:val="nil"/>
              <w:tr2bl w:val="nil"/>
            </w:tcBorders>
            <w:noWrap w:val="0"/>
            <w:vAlign w:val="center"/>
          </w:tcPr>
          <w:p w14:paraId="0148106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w:t>
            </w:r>
          </w:p>
        </w:tc>
        <w:tc>
          <w:tcPr>
            <w:tcW w:w="957" w:type="dxa"/>
            <w:tcBorders>
              <w:tl2br w:val="nil"/>
              <w:tr2bl w:val="nil"/>
            </w:tcBorders>
            <w:noWrap w:val="0"/>
            <w:vAlign w:val="center"/>
          </w:tcPr>
          <w:p w14:paraId="1E1B028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17</w:t>
            </w:r>
          </w:p>
        </w:tc>
        <w:tc>
          <w:tcPr>
            <w:tcW w:w="1167" w:type="dxa"/>
            <w:tcBorders>
              <w:right w:val="nil"/>
              <w:tl2br w:val="nil"/>
              <w:tr2bl w:val="nil"/>
            </w:tcBorders>
            <w:noWrap w:val="0"/>
            <w:vAlign w:val="center"/>
          </w:tcPr>
          <w:p w14:paraId="2B308E11">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default" w:ascii="仿宋_GB2312" w:hAnsi="仿宋_GB2312" w:eastAsia="仿宋_GB2312" w:cs="仿宋_GB2312"/>
                <w:b/>
                <w:bCs/>
                <w:i w:val="0"/>
                <w:iCs w:val="0"/>
                <w:color w:val="000000"/>
                <w:kern w:val="0"/>
                <w:sz w:val="24"/>
                <w:szCs w:val="24"/>
                <w:highlight w:val="none"/>
                <w:u w:val="none"/>
                <w:lang w:val="en-US" w:eastAsia="zh-CN" w:bidi="ar"/>
              </w:rPr>
              <w:instrText xml:space="preserve"> = sum(F2:F6) \* MERGEFORMAT </w:instrTex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default" w:ascii="仿宋_GB2312" w:hAnsi="仿宋_GB2312" w:eastAsia="仿宋_GB2312" w:cs="仿宋_GB2312"/>
                <w:b/>
                <w:bCs/>
                <w:i w:val="0"/>
                <w:iCs w:val="0"/>
                <w:color w:val="000000"/>
                <w:kern w:val="0"/>
                <w:sz w:val="24"/>
                <w:szCs w:val="24"/>
                <w:highlight w:val="none"/>
                <w:u w:val="none"/>
                <w:lang w:val="en-US" w:eastAsia="zh-CN" w:bidi="ar"/>
              </w:rPr>
              <w:t>14</w:t>
            </w:r>
            <w:r>
              <w:rPr>
                <w:rFonts w:hint="default" w:ascii="仿宋_GB2312" w:hAnsi="仿宋_GB2312" w:eastAsia="仿宋_GB2312" w:cs="仿宋_GB2312"/>
                <w:b/>
                <w:bCs/>
                <w:i w:val="0"/>
                <w:iCs w:val="0"/>
                <w:color w:val="000000"/>
                <w:kern w:val="0"/>
                <w:sz w:val="24"/>
                <w:szCs w:val="24"/>
                <w:highlight w:val="none"/>
                <w:u w:val="none"/>
                <w:lang w:val="en-US" w:eastAsia="zh-CN" w:bidi="ar"/>
              </w:rPr>
              <w:fldChar w:fldCharType="end"/>
            </w:r>
          </w:p>
        </w:tc>
      </w:tr>
    </w:tbl>
    <w:p w14:paraId="6FC23DB4">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1.资金管理方面</w:t>
      </w:r>
    </w:p>
    <w:p w14:paraId="0A7F9202">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（1）资金到位率方面。</w:t>
      </w:r>
      <w:r>
        <w:rPr>
          <w:rFonts w:hint="eastAsia" w:ascii="仿宋_GB2312" w:hAnsi="仿宋_GB2312" w:eastAsia="仿宋_GB2312" w:cs="仿宋_GB2312"/>
          <w:color w:val="auto"/>
          <w:kern w:val="2"/>
          <w:sz w:val="32"/>
          <w:szCs w:val="32"/>
          <w:lang w:val="en-US" w:eastAsia="zh-CN" w:bidi="ar-SA"/>
        </w:rPr>
        <w:t>截至评价日</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该</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到位</w:t>
      </w:r>
      <w:r>
        <w:rPr>
          <w:rFonts w:ascii="仿宋_GB2312" w:hAnsi="仿宋_GB2312" w:eastAsia="仿宋_GB2312" w:cs="仿宋_GB2312"/>
          <w:color w:val="auto"/>
          <w:kern w:val="2"/>
          <w:sz w:val="32"/>
          <w:szCs w:val="32"/>
          <w:lang w:bidi="ar-SA"/>
        </w:rPr>
        <w:t>资金</w:t>
      </w:r>
      <w:r>
        <w:rPr>
          <w:rFonts w:hint="eastAsia" w:ascii="仿宋_GB2312" w:hAnsi="仿宋_GB2312" w:eastAsia="仿宋_GB2312" w:cs="仿宋_GB2312"/>
          <w:color w:val="auto"/>
          <w:kern w:val="2"/>
          <w:sz w:val="32"/>
          <w:szCs w:val="32"/>
          <w:lang w:val="en-US" w:eastAsia="zh-CN" w:bidi="ar-SA"/>
        </w:rPr>
        <w:t>121.00万元</w:t>
      </w:r>
      <w:r>
        <w:rPr>
          <w:rFonts w:ascii="仿宋_GB2312" w:hAnsi="仿宋_GB2312" w:eastAsia="仿宋_GB2312" w:cs="仿宋_GB2312"/>
          <w:color w:val="auto"/>
          <w:kern w:val="2"/>
          <w:sz w:val="32"/>
          <w:szCs w:val="32"/>
          <w:lang w:bidi="ar-SA"/>
        </w:rPr>
        <w:t>，预算资金到位率100</w:t>
      </w:r>
      <w:r>
        <w:rPr>
          <w:rFonts w:hint="eastAsia" w:ascii="仿宋_GB2312" w:hAnsi="仿宋_GB2312" w:eastAsia="仿宋_GB2312" w:cs="仿宋_GB2312"/>
          <w:color w:val="auto"/>
          <w:kern w:val="2"/>
          <w:sz w:val="32"/>
          <w:szCs w:val="32"/>
          <w:lang w:val="en-US" w:eastAsia="zh-CN" w:bidi="ar-SA"/>
        </w:rPr>
        <w:t>.00</w:t>
      </w:r>
      <w:r>
        <w:rPr>
          <w:rFonts w:ascii="仿宋_GB2312" w:hAnsi="仿宋_GB2312" w:eastAsia="仿宋_GB2312" w:cs="仿宋_GB2312"/>
          <w:color w:val="auto"/>
          <w:kern w:val="2"/>
          <w:sz w:val="32"/>
          <w:szCs w:val="32"/>
          <w:lang w:bidi="ar-SA"/>
        </w:rPr>
        <w:t>%</w:t>
      </w:r>
      <w:r>
        <w:rPr>
          <w:rFonts w:hint="eastAsia" w:ascii="仿宋_GB2312" w:hAnsi="仿宋_GB2312" w:eastAsia="仿宋_GB2312" w:cs="仿宋_GB2312"/>
          <w:color w:val="auto"/>
          <w:sz w:val="32"/>
          <w:szCs w:val="32"/>
          <w:highlight w:val="none"/>
          <w:lang w:val="en-US" w:eastAsia="zh-CN"/>
        </w:rPr>
        <w:t>。</w:t>
      </w:r>
    </w:p>
    <w:p w14:paraId="137DD6D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（2）预算执行率方面。</w:t>
      </w:r>
      <w:r>
        <w:rPr>
          <w:rFonts w:ascii="仿宋_GB2312" w:hAnsi="仿宋_GB2312" w:eastAsia="仿宋_GB2312" w:cs="仿宋_GB2312"/>
          <w:b w:val="0"/>
          <w:bCs w:val="0"/>
          <w:color w:val="auto"/>
          <w:kern w:val="2"/>
          <w:sz w:val="32"/>
          <w:szCs w:val="32"/>
          <w:lang w:bidi="ar-SA"/>
        </w:rPr>
        <w:t>项目到位预算资金</w:t>
      </w:r>
      <w:r>
        <w:rPr>
          <w:rFonts w:hint="eastAsia" w:ascii="仿宋_GB2312" w:hAnsi="仿宋_GB2312" w:eastAsia="仿宋_GB2312" w:cs="仿宋_GB2312"/>
          <w:b w:val="0"/>
          <w:bCs w:val="0"/>
          <w:color w:val="auto"/>
          <w:kern w:val="2"/>
          <w:sz w:val="32"/>
          <w:szCs w:val="32"/>
          <w:lang w:val="en-US" w:eastAsia="zh-CN" w:bidi="ar-SA"/>
        </w:rPr>
        <w:t>121.00万</w:t>
      </w:r>
      <w:r>
        <w:rPr>
          <w:rFonts w:ascii="仿宋_GB2312" w:hAnsi="仿宋_GB2312" w:eastAsia="仿宋_GB2312" w:cs="仿宋_GB2312"/>
          <w:b w:val="0"/>
          <w:bCs w:val="0"/>
          <w:color w:val="auto"/>
          <w:kern w:val="2"/>
          <w:sz w:val="32"/>
          <w:szCs w:val="32"/>
          <w:lang w:bidi="ar-SA"/>
        </w:rPr>
        <w:t>元，截至评价日，实际支出</w:t>
      </w:r>
      <w:r>
        <w:rPr>
          <w:rFonts w:hint="eastAsia" w:ascii="仿宋_GB2312" w:hAnsi="仿宋_GB2312" w:eastAsia="仿宋_GB2312" w:cs="仿宋_GB2312"/>
          <w:b w:val="0"/>
          <w:bCs w:val="0"/>
          <w:color w:val="auto"/>
          <w:kern w:val="2"/>
          <w:sz w:val="32"/>
          <w:szCs w:val="32"/>
          <w:lang w:val="en-US" w:eastAsia="zh-CN" w:bidi="ar-SA"/>
        </w:rPr>
        <w:t>121.00万元</w:t>
      </w:r>
      <w:r>
        <w:rPr>
          <w:rFonts w:ascii="仿宋_GB2312" w:hAnsi="仿宋_GB2312" w:eastAsia="仿宋_GB2312" w:cs="仿宋_GB2312"/>
          <w:b w:val="0"/>
          <w:bCs w:val="0"/>
          <w:color w:val="auto"/>
          <w:kern w:val="2"/>
          <w:sz w:val="32"/>
          <w:szCs w:val="32"/>
          <w:lang w:bidi="ar-SA"/>
        </w:rPr>
        <w:t>。财政到位预算资金执行率100</w:t>
      </w:r>
      <w:r>
        <w:rPr>
          <w:rFonts w:hint="eastAsia" w:ascii="仿宋_GB2312" w:hAnsi="仿宋_GB2312" w:eastAsia="仿宋_GB2312" w:cs="仿宋_GB2312"/>
          <w:b w:val="0"/>
          <w:bCs w:val="0"/>
          <w:color w:val="auto"/>
          <w:kern w:val="2"/>
          <w:sz w:val="32"/>
          <w:szCs w:val="32"/>
          <w:lang w:val="en-US" w:eastAsia="zh-CN" w:bidi="ar-SA"/>
        </w:rPr>
        <w:t>.00</w:t>
      </w:r>
      <w:r>
        <w:rPr>
          <w:rFonts w:ascii="仿宋_GB2312" w:hAnsi="仿宋_GB2312" w:eastAsia="仿宋_GB2312" w:cs="仿宋_GB2312"/>
          <w:b w:val="0"/>
          <w:bCs w:val="0"/>
          <w:color w:val="auto"/>
          <w:kern w:val="2"/>
          <w:sz w:val="32"/>
          <w:szCs w:val="32"/>
          <w:lang w:bidi="ar-SA"/>
        </w:rPr>
        <w:t>%</w:t>
      </w:r>
      <w:r>
        <w:rPr>
          <w:rFonts w:hint="eastAsia" w:ascii="仿宋_GB2312" w:hAnsi="仿宋_GB2312" w:eastAsia="仿宋_GB2312" w:cs="仿宋_GB2312"/>
          <w:color w:val="auto"/>
          <w:kern w:val="2"/>
          <w:sz w:val="32"/>
          <w:szCs w:val="32"/>
          <w:lang w:val="en-US" w:eastAsia="zh-CN" w:bidi="ar-SA"/>
        </w:rPr>
        <w:t>。</w:t>
      </w:r>
    </w:p>
    <w:p w14:paraId="7E35917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（3）资金使用合规性方面。项目资金支出符合国家有关政策及专项资金管理办法等相关规定，手续齐全，未发现资金截留、挤占、挪用、虚列支出等现象。</w:t>
      </w:r>
    </w:p>
    <w:p w14:paraId="605B0767">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2.组织实施方面</w:t>
      </w:r>
    </w:p>
    <w:p w14:paraId="1A1302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（1）管理制度健全性方面。项目实施单位现有制度体系尚不健全，缺少财务管理制度、专项资金管理办法及项目管理办法等。</w:t>
      </w:r>
    </w:p>
    <w:p w14:paraId="230A311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制度执行有效性方面。项目单位能够遵守相关法律法规及各项管理规定，项目调整及支出手续基本完备，项目实施过程资料和报账资料也较为齐全。然而，在制度执行方面仍存在一些不足，具体表现为以下两点：一是财务凭证附件资料不完整。如，镇区树木修剪费用（74,600.00元）和春节节日氛围营造费用（93,000.00元）的部分报价单未加盖公章，且缺乏相应的验收资料；垃圾桶采购费用（42,000.00元）缺少货物接收单。二是项目自评工作不够规范，内容不够详实。</w:t>
      </w:r>
    </w:p>
    <w:p w14:paraId="3E4AC39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评价组认为，从整体来看，项目资金使用符合规定，手续完备，未发现资金截留、挤占</w:t>
      </w:r>
      <w:r>
        <w:rPr>
          <w:rFonts w:hint="eastAsia" w:ascii="仿宋_GB2312" w:hAnsi="仿宋_GB2312" w:eastAsia="仿宋_GB2312" w:cs="仿宋_GB2312"/>
          <w:kern w:val="2"/>
          <w:sz w:val="32"/>
          <w:szCs w:val="32"/>
          <w:lang w:bidi="ar-SA"/>
        </w:rPr>
        <w:t>、挪用或虚列支出等违规行为。</w:t>
      </w:r>
      <w:r>
        <w:rPr>
          <w:rFonts w:hint="eastAsia" w:ascii="仿宋_GB2312" w:hAnsi="仿宋_GB2312" w:eastAsia="仿宋_GB2312" w:cs="仿宋_GB2312"/>
          <w:kern w:val="2"/>
          <w:sz w:val="32"/>
          <w:szCs w:val="32"/>
          <w:lang w:val="en-US" w:eastAsia="zh-CN" w:bidi="ar-SA"/>
        </w:rPr>
        <w:t>但</w:t>
      </w:r>
      <w:r>
        <w:rPr>
          <w:rFonts w:hint="eastAsia" w:ascii="仿宋_GB2312" w:hAnsi="仿宋_GB2312" w:eastAsia="仿宋_GB2312" w:cs="仿宋_GB2312"/>
          <w:kern w:val="2"/>
          <w:sz w:val="32"/>
          <w:szCs w:val="32"/>
          <w:lang w:bidi="ar-SA"/>
        </w:rPr>
        <w:t>项目在相关制度的执行方面存在不足</w:t>
      </w:r>
      <w:r>
        <w:rPr>
          <w:rFonts w:hint="eastAsia" w:ascii="仿宋_GB2312" w:hAnsi="仿宋_GB2312" w:eastAsia="仿宋_GB2312" w:cs="仿宋_GB2312"/>
          <w:color w:val="auto"/>
          <w:sz w:val="32"/>
          <w:szCs w:val="32"/>
          <w:highlight w:val="none"/>
          <w:lang w:val="en-US" w:eastAsia="zh-CN"/>
        </w:rPr>
        <w:t>。</w:t>
      </w:r>
    </w:p>
    <w:p w14:paraId="72BCAD06">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（三）项目成本情况</w:t>
      </w:r>
    </w:p>
    <w:p w14:paraId="3725913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项目成本从经济成本、社会成本、生态环境成本三个方面进行评价。项目成本满分11分，得分11分。具体得分详见表9。</w:t>
      </w:r>
    </w:p>
    <w:p w14:paraId="612533BB">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表9  项目成本绩效指标分析表</w:t>
      </w:r>
    </w:p>
    <w:tbl>
      <w:tblPr>
        <w:tblStyle w:val="15"/>
        <w:tblW w:w="865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05"/>
        <w:gridCol w:w="1715"/>
        <w:gridCol w:w="3215"/>
        <w:gridCol w:w="858"/>
        <w:gridCol w:w="872"/>
      </w:tblGrid>
      <w:tr w14:paraId="5C00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92" w:type="dxa"/>
            <w:tcBorders>
              <w:left w:val="nil"/>
              <w:tl2br w:val="nil"/>
              <w:tr2bl w:val="nil"/>
            </w:tcBorders>
            <w:shd w:val="clear" w:color="auto" w:fill="D7D7D7"/>
            <w:noWrap w:val="0"/>
            <w:vAlign w:val="center"/>
          </w:tcPr>
          <w:p w14:paraId="1CCF26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805" w:type="dxa"/>
            <w:tcBorders>
              <w:tl2br w:val="nil"/>
              <w:tr2bl w:val="nil"/>
            </w:tcBorders>
            <w:shd w:val="clear" w:color="auto" w:fill="D7D7D7"/>
            <w:noWrap w:val="0"/>
            <w:vAlign w:val="center"/>
          </w:tcPr>
          <w:p w14:paraId="3E639B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715" w:type="dxa"/>
            <w:tcBorders>
              <w:tl2br w:val="nil"/>
              <w:tr2bl w:val="nil"/>
            </w:tcBorders>
            <w:shd w:val="clear" w:color="auto" w:fill="D7D7D7"/>
            <w:noWrap w:val="0"/>
            <w:vAlign w:val="center"/>
          </w:tcPr>
          <w:p w14:paraId="3D64C7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3215" w:type="dxa"/>
            <w:tcBorders>
              <w:tl2br w:val="nil"/>
              <w:tr2bl w:val="nil"/>
            </w:tcBorders>
            <w:shd w:val="clear" w:color="auto" w:fill="D7D7D7"/>
            <w:noWrap w:val="0"/>
            <w:vAlign w:val="center"/>
          </w:tcPr>
          <w:p w14:paraId="06B4363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858" w:type="dxa"/>
            <w:tcBorders>
              <w:tl2br w:val="nil"/>
              <w:tr2bl w:val="nil"/>
            </w:tcBorders>
            <w:shd w:val="clear" w:color="auto" w:fill="D7D7D7"/>
            <w:noWrap w:val="0"/>
            <w:vAlign w:val="center"/>
          </w:tcPr>
          <w:p w14:paraId="482062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872" w:type="dxa"/>
            <w:tcBorders>
              <w:right w:val="nil"/>
              <w:tl2br w:val="nil"/>
              <w:tr2bl w:val="nil"/>
            </w:tcBorders>
            <w:shd w:val="clear" w:color="auto" w:fill="D7D7D7"/>
            <w:noWrap w:val="0"/>
            <w:vAlign w:val="center"/>
          </w:tcPr>
          <w:p w14:paraId="6AB372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2F09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restart"/>
            <w:tcBorders>
              <w:left w:val="nil"/>
              <w:tl2br w:val="nil"/>
              <w:tr2bl w:val="nil"/>
            </w:tcBorders>
            <w:noWrap w:val="0"/>
            <w:vAlign w:val="center"/>
          </w:tcPr>
          <w:p w14:paraId="599D55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成本</w:t>
            </w:r>
          </w:p>
        </w:tc>
        <w:tc>
          <w:tcPr>
            <w:tcW w:w="805" w:type="dxa"/>
            <w:vMerge w:val="restart"/>
            <w:tcBorders>
              <w:tl2br w:val="nil"/>
              <w:tr2bl w:val="nil"/>
            </w:tcBorders>
            <w:noWrap w:val="0"/>
            <w:vAlign w:val="center"/>
          </w:tcPr>
          <w:p w14:paraId="546DED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715" w:type="dxa"/>
            <w:tcBorders>
              <w:tl2br w:val="nil"/>
              <w:tr2bl w:val="nil"/>
            </w:tcBorders>
            <w:noWrap w:val="0"/>
            <w:vAlign w:val="center"/>
          </w:tcPr>
          <w:p w14:paraId="0AD45C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经济成本</w:t>
            </w:r>
          </w:p>
        </w:tc>
        <w:tc>
          <w:tcPr>
            <w:tcW w:w="3215" w:type="dxa"/>
            <w:tcBorders>
              <w:tl2br w:val="nil"/>
              <w:tr2bl w:val="nil"/>
            </w:tcBorders>
            <w:noWrap w:val="0"/>
            <w:vAlign w:val="center"/>
          </w:tcPr>
          <w:p w14:paraId="612C7F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单位成本或分项成本节约率</w:t>
            </w:r>
          </w:p>
        </w:tc>
        <w:tc>
          <w:tcPr>
            <w:tcW w:w="858" w:type="dxa"/>
            <w:tcBorders>
              <w:tl2br w:val="nil"/>
              <w:tr2bl w:val="nil"/>
            </w:tcBorders>
            <w:noWrap w:val="0"/>
            <w:vAlign w:val="center"/>
          </w:tcPr>
          <w:p w14:paraId="4D78B624">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872" w:type="dxa"/>
            <w:tcBorders>
              <w:bottom w:val="single" w:color="000000" w:sz="4" w:space="0"/>
              <w:right w:val="nil"/>
              <w:tl2br w:val="nil"/>
              <w:tr2bl w:val="nil"/>
            </w:tcBorders>
            <w:noWrap w:val="0"/>
            <w:vAlign w:val="center"/>
          </w:tcPr>
          <w:p w14:paraId="27147939">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r>
      <w:tr w14:paraId="4D5B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continue"/>
            <w:tcBorders>
              <w:left w:val="nil"/>
              <w:tl2br w:val="nil"/>
              <w:tr2bl w:val="nil"/>
            </w:tcBorders>
            <w:noWrap w:val="0"/>
            <w:vAlign w:val="center"/>
          </w:tcPr>
          <w:p w14:paraId="711DF7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805" w:type="dxa"/>
            <w:vMerge w:val="continue"/>
            <w:tcBorders>
              <w:tl2br w:val="nil"/>
              <w:tr2bl w:val="nil"/>
            </w:tcBorders>
            <w:noWrap w:val="0"/>
            <w:vAlign w:val="center"/>
          </w:tcPr>
          <w:p w14:paraId="4C12DC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715" w:type="dxa"/>
            <w:tcBorders>
              <w:tl2br w:val="nil"/>
              <w:tr2bl w:val="nil"/>
            </w:tcBorders>
            <w:noWrap w:val="0"/>
            <w:vAlign w:val="center"/>
          </w:tcPr>
          <w:p w14:paraId="06F1EA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社会成本</w:t>
            </w:r>
          </w:p>
        </w:tc>
        <w:tc>
          <w:tcPr>
            <w:tcW w:w="3215" w:type="dxa"/>
            <w:tcBorders>
              <w:tl2br w:val="nil"/>
              <w:tr2bl w:val="nil"/>
            </w:tcBorders>
            <w:noWrap w:val="0"/>
            <w:vAlign w:val="center"/>
          </w:tcPr>
          <w:p w14:paraId="661F0E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社会发展负作用</w:t>
            </w:r>
          </w:p>
        </w:tc>
        <w:tc>
          <w:tcPr>
            <w:tcW w:w="858" w:type="dxa"/>
            <w:tcBorders>
              <w:tl2br w:val="nil"/>
              <w:tr2bl w:val="nil"/>
            </w:tcBorders>
            <w:noWrap w:val="0"/>
            <w:vAlign w:val="center"/>
          </w:tcPr>
          <w:p w14:paraId="58812735">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872" w:type="dxa"/>
            <w:tcBorders>
              <w:top w:val="single" w:color="000000" w:sz="4" w:space="0"/>
              <w:bottom w:val="single" w:color="000000" w:sz="4" w:space="0"/>
              <w:right w:val="nil"/>
              <w:tl2br w:val="nil"/>
              <w:tr2bl w:val="nil"/>
            </w:tcBorders>
            <w:noWrap w:val="0"/>
            <w:vAlign w:val="center"/>
          </w:tcPr>
          <w:p w14:paraId="335C2594">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r>
      <w:tr w14:paraId="790A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92" w:type="dxa"/>
            <w:vMerge w:val="continue"/>
            <w:tcBorders>
              <w:left w:val="nil"/>
              <w:tl2br w:val="nil"/>
              <w:tr2bl w:val="nil"/>
            </w:tcBorders>
            <w:noWrap w:val="0"/>
            <w:vAlign w:val="center"/>
          </w:tcPr>
          <w:p w14:paraId="549ECD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rPr>
            </w:pPr>
          </w:p>
        </w:tc>
        <w:tc>
          <w:tcPr>
            <w:tcW w:w="805" w:type="dxa"/>
            <w:vMerge w:val="continue"/>
            <w:tcBorders>
              <w:tl2br w:val="nil"/>
              <w:tr2bl w:val="nil"/>
            </w:tcBorders>
            <w:noWrap w:val="0"/>
            <w:vAlign w:val="center"/>
          </w:tcPr>
          <w:p w14:paraId="1F0385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b/>
                <w:bCs/>
                <w:color w:val="auto"/>
                <w:sz w:val="24"/>
                <w:szCs w:val="24"/>
                <w:highlight w:val="none"/>
                <w:lang w:val="en-US" w:eastAsia="zh-CN"/>
              </w:rPr>
            </w:pPr>
          </w:p>
        </w:tc>
        <w:tc>
          <w:tcPr>
            <w:tcW w:w="1715" w:type="dxa"/>
            <w:tcBorders>
              <w:tl2br w:val="nil"/>
              <w:tr2bl w:val="nil"/>
            </w:tcBorders>
            <w:noWrap w:val="0"/>
            <w:vAlign w:val="center"/>
          </w:tcPr>
          <w:p w14:paraId="37F9A11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生态环境成本</w:t>
            </w:r>
          </w:p>
        </w:tc>
        <w:tc>
          <w:tcPr>
            <w:tcW w:w="3215" w:type="dxa"/>
            <w:tcBorders>
              <w:tl2br w:val="nil"/>
              <w:tr2bl w:val="nil"/>
            </w:tcBorders>
            <w:noWrap w:val="0"/>
            <w:vAlign w:val="center"/>
          </w:tcPr>
          <w:p w14:paraId="3E34464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自然生态环境负作用</w:t>
            </w:r>
          </w:p>
        </w:tc>
        <w:tc>
          <w:tcPr>
            <w:tcW w:w="858" w:type="dxa"/>
            <w:tcBorders>
              <w:tl2br w:val="nil"/>
              <w:tr2bl w:val="nil"/>
            </w:tcBorders>
            <w:noWrap w:val="0"/>
            <w:vAlign w:val="center"/>
          </w:tcPr>
          <w:p w14:paraId="115DE4E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c>
          <w:tcPr>
            <w:tcW w:w="872" w:type="dxa"/>
            <w:tcBorders>
              <w:top w:val="single" w:color="000000" w:sz="4" w:space="0"/>
              <w:right w:val="nil"/>
              <w:tl2br w:val="nil"/>
              <w:tr2bl w:val="nil"/>
            </w:tcBorders>
            <w:noWrap w:val="0"/>
            <w:vAlign w:val="center"/>
          </w:tcPr>
          <w:p w14:paraId="387D08A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w:t>
            </w:r>
          </w:p>
        </w:tc>
      </w:tr>
      <w:tr w14:paraId="0696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1" w:hRule="atLeast"/>
        </w:trPr>
        <w:tc>
          <w:tcPr>
            <w:tcW w:w="1192" w:type="dxa"/>
            <w:tcBorders>
              <w:left w:val="nil"/>
              <w:tl2br w:val="nil"/>
              <w:tr2bl w:val="nil"/>
            </w:tcBorders>
            <w:noWrap w:val="0"/>
            <w:vAlign w:val="center"/>
          </w:tcPr>
          <w:p w14:paraId="5E71407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805" w:type="dxa"/>
            <w:tcBorders>
              <w:tl2br w:val="nil"/>
              <w:tr2bl w:val="nil"/>
            </w:tcBorders>
            <w:noWrap w:val="0"/>
            <w:vAlign w:val="center"/>
          </w:tcPr>
          <w:p w14:paraId="5E1F31BE">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w:t>
            </w:r>
          </w:p>
        </w:tc>
        <w:tc>
          <w:tcPr>
            <w:tcW w:w="1715" w:type="dxa"/>
            <w:tcBorders>
              <w:tl2br w:val="nil"/>
              <w:tr2bl w:val="nil"/>
            </w:tcBorders>
            <w:noWrap w:val="0"/>
            <w:vAlign w:val="center"/>
          </w:tcPr>
          <w:p w14:paraId="2BE505E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3215" w:type="dxa"/>
            <w:tcBorders>
              <w:tl2br w:val="nil"/>
              <w:tr2bl w:val="nil"/>
            </w:tcBorders>
            <w:noWrap w:val="0"/>
            <w:vAlign w:val="center"/>
          </w:tcPr>
          <w:p w14:paraId="41DECCA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858" w:type="dxa"/>
            <w:tcBorders>
              <w:tl2br w:val="nil"/>
              <w:tr2bl w:val="nil"/>
            </w:tcBorders>
            <w:noWrap w:val="0"/>
            <w:vAlign w:val="center"/>
          </w:tcPr>
          <w:p w14:paraId="6B0C79D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sum(E2:E5)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val="en-US" w:eastAsia="zh-CN"/>
              </w:rPr>
              <w:fldChar w:fldCharType="end"/>
            </w:r>
            <w:r>
              <w:rPr>
                <w:rFonts w:hint="eastAsia" w:ascii="仿宋_GB2312" w:hAnsi="仿宋_GB2312" w:eastAsia="仿宋_GB2312" w:cs="仿宋_GB2312"/>
                <w:b/>
                <w:bCs/>
                <w:color w:val="auto"/>
                <w:sz w:val="24"/>
                <w:szCs w:val="24"/>
                <w:highlight w:val="none"/>
                <w:lang w:val="en-US" w:eastAsia="zh-CN"/>
              </w:rPr>
              <w:t>1</w:t>
            </w:r>
          </w:p>
        </w:tc>
        <w:tc>
          <w:tcPr>
            <w:tcW w:w="872" w:type="dxa"/>
            <w:tcBorders>
              <w:right w:val="nil"/>
              <w:tl2br w:val="nil"/>
              <w:tr2bl w:val="nil"/>
            </w:tcBorders>
            <w:noWrap w:val="0"/>
            <w:vAlign w:val="center"/>
          </w:tcPr>
          <w:p w14:paraId="14DF57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w:t>
            </w:r>
          </w:p>
        </w:tc>
      </w:tr>
    </w:tbl>
    <w:p w14:paraId="131F0DF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6" w:firstLineChars="200"/>
        <w:jc w:val="both"/>
        <w:textAlignment w:val="auto"/>
        <w:rPr>
          <w:rFonts w:hint="default" w:eastAsia="仿宋_GB2312"/>
          <w:color w:val="0000FF"/>
          <w:lang w:val="en-US" w:eastAsia="zh-CN"/>
        </w:rPr>
      </w:pPr>
      <w:r>
        <w:rPr>
          <w:rFonts w:ascii="仿宋_GB2312" w:hAnsi="仿宋_GB2312" w:eastAsia="仿宋_GB2312" w:cs="仿宋_GB2312"/>
          <w:color w:val="auto"/>
          <w:kern w:val="2"/>
          <w:sz w:val="32"/>
          <w:szCs w:val="32"/>
          <w:lang w:bidi="ar-SA"/>
        </w:rPr>
        <w:t>1.经济成本方面。</w:t>
      </w:r>
      <w:r>
        <w:rPr>
          <w:rFonts w:ascii="仿宋_GB2312" w:hAnsi="仿宋_GB2312" w:eastAsia="仿宋_GB2312" w:cs="仿宋_GB2312"/>
          <w:b w:val="0"/>
          <w:bCs w:val="0"/>
          <w:color w:val="auto"/>
          <w:kern w:val="2"/>
          <w:sz w:val="32"/>
          <w:szCs w:val="32"/>
          <w:lang w:bidi="ar-SA"/>
        </w:rPr>
        <w:t>项目到位预算资金为</w:t>
      </w:r>
      <w:r>
        <w:rPr>
          <w:rFonts w:hint="eastAsia" w:ascii="仿宋_GB2312" w:hAnsi="仿宋_GB2312" w:eastAsia="仿宋_GB2312" w:cs="仿宋_GB2312"/>
          <w:b w:val="0"/>
          <w:bCs w:val="0"/>
          <w:color w:val="auto"/>
          <w:kern w:val="2"/>
          <w:sz w:val="32"/>
          <w:szCs w:val="32"/>
          <w:lang w:val="en-US" w:eastAsia="zh-CN" w:bidi="ar-SA"/>
        </w:rPr>
        <w:t>121.00万</w:t>
      </w:r>
      <w:r>
        <w:rPr>
          <w:rFonts w:ascii="仿宋_GB2312" w:hAnsi="仿宋_GB2312" w:eastAsia="仿宋_GB2312" w:cs="仿宋_GB2312"/>
          <w:b w:val="0"/>
          <w:bCs w:val="0"/>
          <w:color w:val="auto"/>
          <w:kern w:val="2"/>
          <w:sz w:val="32"/>
          <w:szCs w:val="32"/>
          <w:lang w:bidi="ar-SA"/>
        </w:rPr>
        <w:t>元，实际支出为</w:t>
      </w:r>
      <w:r>
        <w:rPr>
          <w:rFonts w:hint="eastAsia" w:ascii="仿宋_GB2312" w:hAnsi="仿宋_GB2312" w:eastAsia="仿宋_GB2312" w:cs="仿宋_GB2312"/>
          <w:b w:val="0"/>
          <w:bCs w:val="0"/>
          <w:color w:val="auto"/>
          <w:kern w:val="2"/>
          <w:sz w:val="32"/>
          <w:szCs w:val="32"/>
          <w:lang w:val="en-US" w:eastAsia="zh-CN" w:bidi="ar-SA"/>
        </w:rPr>
        <w:t>121.00万</w:t>
      </w:r>
      <w:r>
        <w:rPr>
          <w:rFonts w:ascii="仿宋_GB2312" w:hAnsi="仿宋_GB2312" w:eastAsia="仿宋_GB2312" w:cs="仿宋_GB2312"/>
          <w:b w:val="0"/>
          <w:bCs w:val="0"/>
          <w:color w:val="auto"/>
          <w:kern w:val="2"/>
          <w:sz w:val="32"/>
          <w:szCs w:val="32"/>
          <w:lang w:bidi="ar-SA"/>
        </w:rPr>
        <w:t>元</w:t>
      </w:r>
      <w:r>
        <w:rPr>
          <w:rFonts w:ascii="仿宋_GB2312" w:hAnsi="仿宋_GB2312" w:eastAsia="仿宋_GB2312" w:cs="仿宋_GB2312"/>
          <w:color w:val="auto"/>
          <w:kern w:val="2"/>
          <w:sz w:val="32"/>
          <w:szCs w:val="32"/>
          <w:lang w:bidi="ar-SA"/>
        </w:rPr>
        <w:t>，项目成本节约率为</w:t>
      </w:r>
      <w:r>
        <w:rPr>
          <w:rFonts w:hint="eastAsia" w:ascii="仿宋_GB2312" w:hAnsi="仿宋_GB2312" w:eastAsia="仿宋_GB2312" w:cs="仿宋_GB2312"/>
          <w:color w:val="auto"/>
          <w:kern w:val="2"/>
          <w:sz w:val="32"/>
          <w:szCs w:val="32"/>
          <w:lang w:val="en-US" w:eastAsia="zh-CN" w:bidi="ar-SA"/>
        </w:rPr>
        <w:t>0</w:t>
      </w:r>
      <w:r>
        <w:rPr>
          <w:rFonts w:ascii="仿宋_GB2312" w:hAnsi="仿宋_GB2312" w:eastAsia="仿宋_GB2312" w:cs="仿宋_GB2312"/>
          <w:color w:val="auto"/>
          <w:kern w:val="2"/>
          <w:sz w:val="32"/>
          <w:szCs w:val="32"/>
          <w:lang w:bidi="ar-SA"/>
        </w:rPr>
        <w:t>，项目成本控制效果</w:t>
      </w:r>
      <w:r>
        <w:rPr>
          <w:rFonts w:hint="eastAsia" w:ascii="仿宋_GB2312" w:hAnsi="仿宋_GB2312" w:eastAsia="仿宋_GB2312" w:cs="仿宋_GB2312"/>
          <w:color w:val="auto"/>
          <w:kern w:val="2"/>
          <w:sz w:val="32"/>
          <w:szCs w:val="32"/>
          <w:lang w:val="en-US" w:eastAsia="zh-CN" w:bidi="ar-SA"/>
        </w:rPr>
        <w:t>良好。</w:t>
      </w:r>
    </w:p>
    <w:p w14:paraId="3A8BB18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2.社会成本方面。</w:t>
      </w:r>
      <w:r>
        <w:rPr>
          <w:rFonts w:hint="eastAsia" w:ascii="仿宋_GB2312" w:hAnsi="仿宋_GB2312" w:eastAsia="仿宋_GB2312" w:cs="仿宋_GB2312"/>
          <w:kern w:val="2"/>
          <w:sz w:val="32"/>
          <w:szCs w:val="32"/>
          <w:lang w:bidi="ar-SA"/>
        </w:rPr>
        <w:t>该项目得到了广大人民群众的普遍支持，在实施期间未对项目区域的社会发展产生任何直接或间接的负面影响</w:t>
      </w:r>
      <w:r>
        <w:rPr>
          <w:rFonts w:hint="eastAsia" w:ascii="仿宋_GB2312" w:hAnsi="仿宋_GB2312" w:eastAsia="仿宋_GB2312" w:cs="仿宋_GB2312"/>
          <w:color w:val="auto"/>
          <w:kern w:val="2"/>
          <w:sz w:val="32"/>
          <w:szCs w:val="32"/>
          <w:highlight w:val="none"/>
          <w:lang w:val="en-US" w:eastAsia="zh-CN" w:bidi="ar-SA"/>
        </w:rPr>
        <w:t>。</w:t>
      </w:r>
    </w:p>
    <w:p w14:paraId="01C5EF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6" w:firstLineChars="200"/>
        <w:jc w:val="left"/>
        <w:textAlignment w:val="auto"/>
        <w:rPr>
          <w:rFonts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sz w:val="32"/>
          <w:szCs w:val="32"/>
          <w:highlight w:val="none"/>
          <w:lang w:val="en-US" w:eastAsia="zh-CN"/>
        </w:rPr>
        <w:t>3.生态成本方面。</w:t>
      </w:r>
      <w:r>
        <w:rPr>
          <w:rFonts w:hint="eastAsia" w:ascii="仿宋_GB2312" w:hAnsi="仿宋_GB2312" w:eastAsia="仿宋_GB2312" w:cs="仿宋_GB2312"/>
          <w:bCs/>
          <w:color w:val="auto"/>
          <w:sz w:val="32"/>
          <w:szCs w:val="32"/>
          <w:highlight w:val="none"/>
          <w:lang w:val="en-US" w:eastAsia="zh-CN"/>
        </w:rPr>
        <w:t>该项目的实施主要是改善镇区环境卫生水平，故无影响生态发展的负作用</w:t>
      </w:r>
      <w:r>
        <w:rPr>
          <w:rFonts w:ascii="仿宋_GB2312" w:hAnsi="仿宋_GB2312" w:eastAsia="仿宋_GB2312" w:cs="仿宋_GB2312"/>
          <w:color w:val="auto"/>
          <w:kern w:val="2"/>
          <w:sz w:val="32"/>
          <w:szCs w:val="32"/>
          <w:lang w:bidi="ar-SA"/>
        </w:rPr>
        <w:t>。</w:t>
      </w:r>
    </w:p>
    <w:p w14:paraId="358FB0A6">
      <w:pPr>
        <w:widowControl w:val="0"/>
        <w:spacing w:line="560" w:lineRule="exact"/>
        <w:ind w:firstLine="646" w:firstLineChars="200"/>
        <w:jc w:val="both"/>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000000"/>
          <w:kern w:val="2"/>
          <w:sz w:val="32"/>
          <w:szCs w:val="32"/>
          <w:lang w:bidi="ar-SA"/>
        </w:rPr>
        <w:t>评价组认为，项目在整体成本控制方面表现良好，同时未对社会发展和自然生态环境造成任何负面影响</w:t>
      </w:r>
      <w:r>
        <w:rPr>
          <w:rFonts w:hint="eastAsia" w:ascii="仿宋_GB2312" w:hAnsi="仿宋_GB2312" w:eastAsia="仿宋_GB2312" w:cs="仿宋_GB2312"/>
          <w:color w:val="000000"/>
          <w:kern w:val="2"/>
          <w:sz w:val="32"/>
          <w:szCs w:val="32"/>
          <w:lang w:val="en-US" w:eastAsia="zh-CN" w:bidi="ar-SA"/>
        </w:rPr>
        <w:t>。</w:t>
      </w:r>
    </w:p>
    <w:p w14:paraId="5220B0E0">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（四）项目产出情况</w:t>
      </w:r>
    </w:p>
    <w:p w14:paraId="660B7E9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项目产出从产出数量、产出质量、产出时效三个方面进行评价。项目产出满分25分，得分24.5分。具体得分详见表10。</w:t>
      </w:r>
    </w:p>
    <w:p w14:paraId="4535CB96">
      <w:pPr>
        <w:pStyle w:val="8"/>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表10   项目产出绩效指标分析表</w:t>
      </w:r>
    </w:p>
    <w:tbl>
      <w:tblPr>
        <w:tblStyle w:val="15"/>
        <w:tblW w:w="8617"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041"/>
        <w:gridCol w:w="1428"/>
        <w:gridCol w:w="2766"/>
        <w:gridCol w:w="960"/>
        <w:gridCol w:w="1174"/>
      </w:tblGrid>
      <w:tr w14:paraId="3381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8" w:type="dxa"/>
            <w:tcBorders>
              <w:left w:val="nil"/>
              <w:tl2br w:val="nil"/>
              <w:tr2bl w:val="nil"/>
            </w:tcBorders>
            <w:shd w:val="clear" w:color="auto" w:fill="D7D7D7"/>
            <w:noWrap w:val="0"/>
            <w:vAlign w:val="center"/>
          </w:tcPr>
          <w:p w14:paraId="531CAC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一级指标</w:t>
            </w:r>
          </w:p>
        </w:tc>
        <w:tc>
          <w:tcPr>
            <w:tcW w:w="1041" w:type="dxa"/>
            <w:tcBorders>
              <w:tl2br w:val="nil"/>
              <w:tr2bl w:val="nil"/>
            </w:tcBorders>
            <w:shd w:val="clear" w:color="auto" w:fill="D7D7D7"/>
            <w:noWrap w:val="0"/>
            <w:vAlign w:val="center"/>
          </w:tcPr>
          <w:p w14:paraId="05F16F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1428" w:type="dxa"/>
            <w:tcBorders>
              <w:tl2br w:val="nil"/>
              <w:tr2bl w:val="nil"/>
            </w:tcBorders>
            <w:shd w:val="clear" w:color="auto" w:fill="D7D7D7"/>
            <w:noWrap w:val="0"/>
            <w:vAlign w:val="center"/>
          </w:tcPr>
          <w:p w14:paraId="34D44B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二级指标</w:t>
            </w:r>
          </w:p>
        </w:tc>
        <w:tc>
          <w:tcPr>
            <w:tcW w:w="2766" w:type="dxa"/>
            <w:tcBorders>
              <w:tl2br w:val="nil"/>
              <w:tr2bl w:val="nil"/>
            </w:tcBorders>
            <w:shd w:val="clear" w:color="auto" w:fill="D7D7D7"/>
            <w:noWrap w:val="0"/>
            <w:vAlign w:val="center"/>
          </w:tcPr>
          <w:p w14:paraId="65A1DA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三级指标</w:t>
            </w:r>
          </w:p>
        </w:tc>
        <w:tc>
          <w:tcPr>
            <w:tcW w:w="960" w:type="dxa"/>
            <w:tcBorders>
              <w:tl2br w:val="nil"/>
              <w:tr2bl w:val="nil"/>
            </w:tcBorders>
            <w:shd w:val="clear" w:color="auto" w:fill="D7D7D7"/>
            <w:noWrap w:val="0"/>
            <w:vAlign w:val="center"/>
          </w:tcPr>
          <w:p w14:paraId="454839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1174" w:type="dxa"/>
            <w:tcBorders>
              <w:right w:val="nil"/>
              <w:tl2br w:val="nil"/>
              <w:tr2bl w:val="nil"/>
            </w:tcBorders>
            <w:shd w:val="clear" w:color="auto" w:fill="D7D7D7"/>
            <w:noWrap w:val="0"/>
            <w:vAlign w:val="center"/>
          </w:tcPr>
          <w:p w14:paraId="64256F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得分</w:t>
            </w:r>
          </w:p>
        </w:tc>
      </w:tr>
      <w:tr w14:paraId="2C4B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restart"/>
            <w:tcBorders>
              <w:left w:val="nil"/>
              <w:tl2br w:val="nil"/>
              <w:tr2bl w:val="nil"/>
            </w:tcBorders>
            <w:noWrap w:val="0"/>
            <w:vAlign w:val="center"/>
          </w:tcPr>
          <w:p w14:paraId="3172D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产出</w:t>
            </w:r>
          </w:p>
        </w:tc>
        <w:tc>
          <w:tcPr>
            <w:tcW w:w="1041" w:type="dxa"/>
            <w:vMerge w:val="restart"/>
            <w:tcBorders>
              <w:tl2br w:val="nil"/>
              <w:tr2bl w:val="nil"/>
            </w:tcBorders>
            <w:noWrap w:val="0"/>
            <w:vAlign w:val="center"/>
          </w:tcPr>
          <w:p w14:paraId="3471B0A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428" w:type="dxa"/>
            <w:tcBorders>
              <w:tl2br w:val="nil"/>
              <w:tr2bl w:val="nil"/>
            </w:tcBorders>
            <w:noWrap w:val="0"/>
            <w:vAlign w:val="center"/>
          </w:tcPr>
          <w:p w14:paraId="1895FF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产出数量</w:t>
            </w:r>
          </w:p>
        </w:tc>
        <w:tc>
          <w:tcPr>
            <w:tcW w:w="2766" w:type="dxa"/>
            <w:tcBorders>
              <w:tl2br w:val="nil"/>
              <w:tr2bl w:val="nil"/>
            </w:tcBorders>
            <w:noWrap w:val="0"/>
            <w:vAlign w:val="center"/>
          </w:tcPr>
          <w:p w14:paraId="134A41F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项目数量目标完成情况</w:t>
            </w:r>
          </w:p>
        </w:tc>
        <w:tc>
          <w:tcPr>
            <w:tcW w:w="960" w:type="dxa"/>
            <w:tcBorders>
              <w:tl2br w:val="nil"/>
              <w:tr2bl w:val="nil"/>
            </w:tcBorders>
            <w:noWrap w:val="0"/>
            <w:vAlign w:val="center"/>
          </w:tcPr>
          <w:p w14:paraId="40762E18">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74" w:type="dxa"/>
            <w:tcBorders>
              <w:right w:val="nil"/>
              <w:tl2br w:val="nil"/>
              <w:tr2bl w:val="nil"/>
            </w:tcBorders>
            <w:noWrap w:val="0"/>
            <w:vAlign w:val="center"/>
          </w:tcPr>
          <w:p w14:paraId="5F93271E">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r>
      <w:tr w14:paraId="36BC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continue"/>
            <w:tcBorders>
              <w:left w:val="nil"/>
              <w:tl2br w:val="nil"/>
              <w:tr2bl w:val="nil"/>
            </w:tcBorders>
            <w:noWrap w:val="0"/>
            <w:vAlign w:val="center"/>
          </w:tcPr>
          <w:p w14:paraId="35ADB8B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41" w:type="dxa"/>
            <w:vMerge w:val="continue"/>
            <w:tcBorders>
              <w:tl2br w:val="nil"/>
              <w:tr2bl w:val="nil"/>
            </w:tcBorders>
            <w:noWrap w:val="0"/>
            <w:vAlign w:val="center"/>
          </w:tcPr>
          <w:p w14:paraId="6C0A85E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28" w:type="dxa"/>
            <w:tcBorders>
              <w:tl2br w:val="nil"/>
              <w:tr2bl w:val="nil"/>
            </w:tcBorders>
            <w:noWrap w:val="0"/>
            <w:vAlign w:val="center"/>
          </w:tcPr>
          <w:p w14:paraId="76F739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产出质量</w:t>
            </w:r>
          </w:p>
        </w:tc>
        <w:tc>
          <w:tcPr>
            <w:tcW w:w="2766" w:type="dxa"/>
            <w:tcBorders>
              <w:tl2br w:val="nil"/>
              <w:tr2bl w:val="nil"/>
            </w:tcBorders>
            <w:noWrap w:val="0"/>
            <w:vAlign w:val="center"/>
          </w:tcPr>
          <w:p w14:paraId="57F52666">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项目质量目标完成情况</w:t>
            </w:r>
          </w:p>
        </w:tc>
        <w:tc>
          <w:tcPr>
            <w:tcW w:w="960" w:type="dxa"/>
            <w:tcBorders>
              <w:tl2br w:val="nil"/>
              <w:tr2bl w:val="nil"/>
            </w:tcBorders>
            <w:noWrap w:val="0"/>
            <w:vAlign w:val="center"/>
          </w:tcPr>
          <w:p w14:paraId="3B04CA23">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10</w:t>
            </w:r>
          </w:p>
        </w:tc>
        <w:tc>
          <w:tcPr>
            <w:tcW w:w="1174" w:type="dxa"/>
            <w:tcBorders>
              <w:right w:val="nil"/>
              <w:tl2br w:val="nil"/>
              <w:tr2bl w:val="nil"/>
            </w:tcBorders>
            <w:noWrap w:val="0"/>
            <w:vAlign w:val="center"/>
          </w:tcPr>
          <w:p w14:paraId="3A9B82F7">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9.5</w:t>
            </w:r>
          </w:p>
        </w:tc>
      </w:tr>
      <w:tr w14:paraId="5A6A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48" w:type="dxa"/>
            <w:vMerge w:val="continue"/>
            <w:tcBorders>
              <w:left w:val="nil"/>
              <w:tl2br w:val="nil"/>
              <w:tr2bl w:val="nil"/>
            </w:tcBorders>
            <w:noWrap w:val="0"/>
            <w:vAlign w:val="center"/>
          </w:tcPr>
          <w:p w14:paraId="566582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041" w:type="dxa"/>
            <w:vMerge w:val="continue"/>
            <w:tcBorders>
              <w:tl2br w:val="nil"/>
              <w:tr2bl w:val="nil"/>
            </w:tcBorders>
            <w:noWrap w:val="0"/>
            <w:vAlign w:val="center"/>
          </w:tcPr>
          <w:p w14:paraId="78B3BB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color w:val="auto"/>
                <w:sz w:val="24"/>
                <w:szCs w:val="24"/>
                <w:highlight w:val="none"/>
              </w:rPr>
            </w:pPr>
          </w:p>
        </w:tc>
        <w:tc>
          <w:tcPr>
            <w:tcW w:w="1428" w:type="dxa"/>
            <w:tcBorders>
              <w:tl2br w:val="nil"/>
              <w:tr2bl w:val="nil"/>
            </w:tcBorders>
            <w:noWrap w:val="0"/>
            <w:vAlign w:val="center"/>
          </w:tcPr>
          <w:p w14:paraId="3B7654F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产出时效</w:t>
            </w:r>
          </w:p>
        </w:tc>
        <w:tc>
          <w:tcPr>
            <w:tcW w:w="2766" w:type="dxa"/>
            <w:tcBorders>
              <w:tl2br w:val="nil"/>
              <w:tr2bl w:val="nil"/>
            </w:tcBorders>
            <w:noWrap w:val="0"/>
            <w:vAlign w:val="center"/>
          </w:tcPr>
          <w:p w14:paraId="50EC7343">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项目按期完成情况</w:t>
            </w:r>
          </w:p>
        </w:tc>
        <w:tc>
          <w:tcPr>
            <w:tcW w:w="960" w:type="dxa"/>
            <w:tcBorders>
              <w:tl2br w:val="nil"/>
              <w:tr2bl w:val="nil"/>
            </w:tcBorders>
            <w:noWrap w:val="0"/>
            <w:vAlign w:val="center"/>
          </w:tcPr>
          <w:p w14:paraId="33B1BCCD">
            <w:pPr>
              <w:keepNext w:val="0"/>
              <w:keepLines w:val="0"/>
              <w:widowControl/>
              <w:suppressLineNumbers w:val="0"/>
              <w:jc w:val="center"/>
              <w:textAlignment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c>
          <w:tcPr>
            <w:tcW w:w="1174" w:type="dxa"/>
            <w:tcBorders>
              <w:right w:val="nil"/>
              <w:tl2br w:val="nil"/>
              <w:tr2bl w:val="nil"/>
            </w:tcBorders>
            <w:noWrap w:val="0"/>
            <w:vAlign w:val="center"/>
          </w:tcPr>
          <w:p w14:paraId="395AEA92">
            <w:pPr>
              <w:keepNext w:val="0"/>
              <w:keepLines w:val="0"/>
              <w:widowControl/>
              <w:suppressLineNumbers w:val="0"/>
              <w:jc w:val="center"/>
              <w:textAlignment w:val="center"/>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5</w:t>
            </w:r>
          </w:p>
        </w:tc>
      </w:tr>
      <w:tr w14:paraId="711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trPr>
        <w:tc>
          <w:tcPr>
            <w:tcW w:w="1248" w:type="dxa"/>
            <w:tcBorders>
              <w:left w:val="nil"/>
              <w:tl2br w:val="nil"/>
              <w:tr2bl w:val="nil"/>
            </w:tcBorders>
            <w:noWrap w:val="0"/>
            <w:vAlign w:val="center"/>
          </w:tcPr>
          <w:p w14:paraId="02844AC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合计</w:t>
            </w:r>
          </w:p>
        </w:tc>
        <w:tc>
          <w:tcPr>
            <w:tcW w:w="1041" w:type="dxa"/>
            <w:tcBorders>
              <w:tl2br w:val="nil"/>
              <w:tr2bl w:val="nil"/>
            </w:tcBorders>
            <w:noWrap w:val="0"/>
            <w:vAlign w:val="center"/>
          </w:tcPr>
          <w:p w14:paraId="2309FD1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428" w:type="dxa"/>
            <w:tcBorders>
              <w:tl2br w:val="nil"/>
              <w:tr2bl w:val="nil"/>
            </w:tcBorders>
            <w:noWrap w:val="0"/>
            <w:vAlign w:val="center"/>
          </w:tcPr>
          <w:p w14:paraId="1E66B5F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2766" w:type="dxa"/>
            <w:tcBorders>
              <w:tl2br w:val="nil"/>
              <w:tr2bl w:val="nil"/>
            </w:tcBorders>
            <w:noWrap w:val="0"/>
            <w:vAlign w:val="center"/>
          </w:tcPr>
          <w:p w14:paraId="2F58E74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p>
        </w:tc>
        <w:tc>
          <w:tcPr>
            <w:tcW w:w="960" w:type="dxa"/>
            <w:tcBorders>
              <w:tl2br w:val="nil"/>
              <w:tr2bl w:val="nil"/>
            </w:tcBorders>
            <w:noWrap w:val="0"/>
            <w:vAlign w:val="center"/>
          </w:tcPr>
          <w:p w14:paraId="447CEDA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w:t>
            </w:r>
          </w:p>
        </w:tc>
        <w:tc>
          <w:tcPr>
            <w:tcW w:w="1174" w:type="dxa"/>
            <w:tcBorders>
              <w:right w:val="nil"/>
              <w:tl2br w:val="nil"/>
              <w:tr2bl w:val="nil"/>
            </w:tcBorders>
            <w:noWrap w:val="0"/>
            <w:vAlign w:val="center"/>
          </w:tcPr>
          <w:p w14:paraId="3C73B6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24.5</w:t>
            </w:r>
          </w:p>
        </w:tc>
      </w:tr>
    </w:tbl>
    <w:p w14:paraId="5D14ABD5">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1.产出数量方面。</w:t>
      </w:r>
      <w:r>
        <w:rPr>
          <w:rFonts w:ascii="仿宋_GB2312" w:hAnsi="仿宋_GB2312" w:eastAsia="仿宋_GB2312" w:cs="仿宋_GB2312"/>
          <w:color w:val="auto"/>
          <w:kern w:val="2"/>
          <w:sz w:val="32"/>
          <w:szCs w:val="32"/>
          <w:lang w:bidi="ar-SA"/>
        </w:rPr>
        <w:t>根据项目单位提供的相关资料，</w:t>
      </w:r>
      <w:r>
        <w:rPr>
          <w:rFonts w:hint="eastAsia" w:ascii="仿宋_GB2312" w:hAnsi="仿宋_GB2312" w:eastAsia="仿宋_GB2312" w:cs="仿宋_GB2312"/>
          <w:color w:val="auto"/>
          <w:kern w:val="2"/>
          <w:sz w:val="32"/>
          <w:szCs w:val="32"/>
          <w:lang w:val="en-US" w:eastAsia="zh-CN" w:bidi="ar-SA"/>
        </w:rPr>
        <w:t>项目单位已完成绛帐镇镇区及园区周边道路的清扫保洁、周边垃圾收集清运、绿化及苗木管护等环卫工作</w:t>
      </w:r>
      <w:r>
        <w:rPr>
          <w:rFonts w:ascii="仿宋_GB2312" w:hAnsi="仿宋_GB2312" w:eastAsia="仿宋_GB2312" w:cs="仿宋_GB2312"/>
          <w:color w:val="auto"/>
          <w:kern w:val="2"/>
          <w:sz w:val="32"/>
          <w:szCs w:val="32"/>
          <w:lang w:bidi="ar-SA"/>
        </w:rPr>
        <w:t>，并</w:t>
      </w:r>
      <w:r>
        <w:rPr>
          <w:rFonts w:hint="eastAsia" w:ascii="仿宋_GB2312" w:hAnsi="仿宋_GB2312" w:eastAsia="仿宋_GB2312" w:cs="仿宋_GB2312"/>
          <w:color w:val="auto"/>
          <w:kern w:val="2"/>
          <w:sz w:val="32"/>
          <w:szCs w:val="32"/>
          <w:lang w:val="en-US" w:eastAsia="zh-CN" w:bidi="ar-SA"/>
        </w:rPr>
        <w:t>基本</w:t>
      </w:r>
      <w:r>
        <w:rPr>
          <w:rFonts w:ascii="仿宋_GB2312" w:hAnsi="仿宋_GB2312" w:eastAsia="仿宋_GB2312" w:cs="仿宋_GB2312"/>
          <w:color w:val="auto"/>
          <w:kern w:val="2"/>
          <w:sz w:val="32"/>
          <w:szCs w:val="32"/>
          <w:lang w:bidi="ar-SA"/>
        </w:rPr>
        <w:t>实现了预期的绩效目标。</w:t>
      </w:r>
    </w:p>
    <w:p w14:paraId="74F640AF">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rightChars="0" w:firstLine="646" w:firstLineChars="200"/>
        <w:jc w:val="both"/>
        <w:textAlignment w:val="auto"/>
        <w:rPr>
          <w:rFonts w:ascii="仿宋_GB2312" w:hAnsi="仿宋_GB2312" w:eastAsia="仿宋_GB2312" w:cs="仿宋_GB2312"/>
          <w:bCs/>
          <w:color w:val="auto"/>
          <w:kern w:val="2"/>
          <w:sz w:val="32"/>
          <w:szCs w:val="32"/>
          <w:lang w:bidi="ar-SA"/>
        </w:rPr>
      </w:pPr>
      <w:r>
        <w:rPr>
          <w:rFonts w:hint="eastAsia" w:ascii="仿宋_GB2312" w:hAnsi="仿宋_GB2312" w:eastAsia="仿宋_GB2312" w:cs="仿宋_GB2312"/>
          <w:color w:val="auto"/>
          <w:sz w:val="32"/>
          <w:szCs w:val="32"/>
          <w:highlight w:val="none"/>
          <w:lang w:val="en-US" w:eastAsia="zh-CN"/>
        </w:rPr>
        <w:t>2.产出质量方面。</w:t>
      </w:r>
      <w:r>
        <w:rPr>
          <w:rFonts w:ascii="仿宋_GB2312" w:hAnsi="仿宋_GB2312" w:eastAsia="仿宋_GB2312" w:cs="仿宋_GB2312"/>
          <w:bCs/>
          <w:color w:val="auto"/>
          <w:kern w:val="2"/>
          <w:sz w:val="32"/>
          <w:szCs w:val="32"/>
          <w:lang w:bidi="ar-SA"/>
        </w:rPr>
        <w:t>随着各项环卫设施的不断完善，环卫队伍建设也在持续加强，镇区环境面貌得到了显著改善，公众满意度较高。项目所推进的绿化及苗木管护工作，不仅提升了镇区的环境品质，还有效改善了生态质量，为当地居民创造了更加宜居的生活环境。</w:t>
      </w:r>
      <w:r>
        <w:rPr>
          <w:rFonts w:hint="eastAsia" w:ascii="仿宋_GB2312" w:hAnsi="仿宋_GB2312" w:eastAsia="仿宋_GB2312" w:cs="仿宋_GB2312"/>
          <w:bCs/>
          <w:color w:val="auto"/>
          <w:kern w:val="2"/>
          <w:sz w:val="32"/>
          <w:szCs w:val="32"/>
          <w:lang w:val="en-US" w:eastAsia="zh-CN" w:bidi="ar-SA"/>
        </w:rPr>
        <w:t>但是，部分群众对区域内环卫设施设置不够满意</w:t>
      </w:r>
      <w:r>
        <w:rPr>
          <w:rFonts w:ascii="仿宋_GB2312" w:hAnsi="仿宋_GB2312" w:eastAsia="仿宋_GB2312" w:cs="仿宋_GB2312"/>
          <w:bCs/>
          <w:color w:val="auto"/>
          <w:kern w:val="2"/>
          <w:sz w:val="32"/>
          <w:szCs w:val="32"/>
          <w:lang w:bidi="ar-SA"/>
        </w:rPr>
        <w:t>。</w:t>
      </w:r>
    </w:p>
    <w:p w14:paraId="2987976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3.产出时效方面。</w:t>
      </w:r>
      <w:r>
        <w:rPr>
          <w:rFonts w:hint="eastAsia" w:ascii="仿宋_GB2312" w:hAnsi="仿宋_GB2312" w:eastAsia="仿宋_GB2312" w:cs="仿宋_GB2312"/>
          <w:bCs/>
          <w:color w:val="auto"/>
          <w:sz w:val="32"/>
          <w:szCs w:val="32"/>
          <w:highlight w:val="none"/>
          <w:lang w:val="en-US" w:eastAsia="zh-CN"/>
        </w:rPr>
        <w:t>环卫工人工资能够及时足额发放，环卫清洁工作能够做到日产日清，时效性强</w:t>
      </w:r>
      <w:r>
        <w:rPr>
          <w:rFonts w:ascii="仿宋_GB2312" w:hAnsi="仿宋_GB2312" w:eastAsia="仿宋_GB2312" w:cs="仿宋_GB2312"/>
          <w:color w:val="auto"/>
          <w:kern w:val="2"/>
          <w:sz w:val="32"/>
          <w:szCs w:val="32"/>
          <w:lang w:bidi="ar-SA"/>
        </w:rPr>
        <w:t>。</w:t>
      </w:r>
    </w:p>
    <w:p w14:paraId="62A4BA11">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评价组认为，从项目产出方面看，项目产出数量、质量目标任务完成较好。但产出时效指标完成欠佳。</w:t>
      </w:r>
    </w:p>
    <w:p w14:paraId="1BB06770">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default"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（五）项目效益情况</w:t>
      </w:r>
    </w:p>
    <w:p w14:paraId="36AFBB70">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color w:val="auto"/>
          <w:sz w:val="32"/>
          <w:szCs w:val="32"/>
          <w:highlight w:val="none"/>
          <w:lang w:val="en-US" w:eastAsia="zh-CN"/>
        </w:rPr>
        <w:t>从社会效益、生态效益、可持续影响、受表彰情况、满意度五个方面进行评价。项目效益满分为35分，得分为28.47分。具体得分详见表11。</w:t>
      </w:r>
    </w:p>
    <w:p w14:paraId="4FECF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center"/>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表11   项目效益绩效指标分析表</w:t>
      </w:r>
    </w:p>
    <w:tbl>
      <w:tblPr>
        <w:tblStyle w:val="15"/>
        <w:tblpPr w:leftFromText="181" w:rightFromText="181" w:vertAnchor="text" w:horzAnchor="page" w:tblpX="1946"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8"/>
        <w:gridCol w:w="726"/>
        <w:gridCol w:w="1441"/>
        <w:gridCol w:w="3370"/>
        <w:gridCol w:w="779"/>
        <w:gridCol w:w="844"/>
      </w:tblGrid>
      <w:tr w14:paraId="5964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trPr>
        <w:tc>
          <w:tcPr>
            <w:tcW w:w="1218" w:type="dxa"/>
            <w:tcBorders>
              <w:top w:val="single" w:color="000000" w:sz="4" w:space="0"/>
              <w:bottom w:val="single" w:color="000000" w:sz="4" w:space="0"/>
              <w:right w:val="single" w:color="000000" w:sz="4" w:space="0"/>
            </w:tcBorders>
            <w:shd w:val="clear" w:color="auto" w:fill="D7D7D7"/>
            <w:noWrap w:val="0"/>
            <w:vAlign w:val="center"/>
          </w:tcPr>
          <w:p w14:paraId="75F84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72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A56C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144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0DF0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二级指标</w:t>
            </w:r>
          </w:p>
        </w:tc>
        <w:tc>
          <w:tcPr>
            <w:tcW w:w="337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62B8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三级指标</w:t>
            </w:r>
          </w:p>
        </w:tc>
        <w:tc>
          <w:tcPr>
            <w:tcW w:w="779" w:type="dxa"/>
            <w:tcBorders>
              <w:top w:val="single" w:color="000000" w:sz="4" w:space="0"/>
              <w:left w:val="single" w:color="000000" w:sz="4" w:space="0"/>
              <w:bottom w:val="single" w:color="000000" w:sz="4" w:space="0"/>
              <w:right w:val="single" w:color="auto" w:sz="4" w:space="0"/>
            </w:tcBorders>
            <w:shd w:val="clear" w:color="auto" w:fill="D7D7D7"/>
            <w:noWrap w:val="0"/>
            <w:vAlign w:val="center"/>
          </w:tcPr>
          <w:p w14:paraId="08EEA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分值</w:t>
            </w:r>
          </w:p>
        </w:tc>
        <w:tc>
          <w:tcPr>
            <w:tcW w:w="844" w:type="dxa"/>
            <w:tcBorders>
              <w:top w:val="single" w:color="000000" w:sz="4" w:space="0"/>
              <w:left w:val="single" w:color="000000" w:sz="4" w:space="0"/>
              <w:bottom w:val="single" w:color="000000" w:sz="4" w:space="0"/>
              <w:right w:val="nil"/>
            </w:tcBorders>
            <w:shd w:val="clear" w:color="auto" w:fill="D7D7D7"/>
            <w:noWrap w:val="0"/>
            <w:vAlign w:val="center"/>
          </w:tcPr>
          <w:p w14:paraId="516BD5C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bCs/>
                <w:color w:val="auto"/>
                <w:sz w:val="24"/>
                <w:szCs w:val="24"/>
                <w:highlight w:val="none"/>
                <w:lang w:val="en-US" w:eastAsia="zh-CN"/>
              </w:rPr>
              <w:t>得分</w:t>
            </w:r>
          </w:p>
        </w:tc>
      </w:tr>
      <w:tr w14:paraId="0519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18" w:type="dxa"/>
            <w:vMerge w:val="restart"/>
            <w:tcBorders>
              <w:top w:val="single" w:color="000000" w:sz="4" w:space="0"/>
              <w:right w:val="single" w:color="000000" w:sz="4" w:space="0"/>
            </w:tcBorders>
            <w:noWrap w:val="0"/>
            <w:vAlign w:val="center"/>
          </w:tcPr>
          <w:p w14:paraId="1D62A4E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r>
              <w:rPr>
                <w:rFonts w:hint="eastAsia" w:ascii="仿宋_GB2312" w:hAnsi="仿宋_GB2312" w:eastAsia="仿宋_GB2312" w:cs="仿宋_GB2312"/>
                <w:b w:val="0"/>
                <w:bCs w:val="0"/>
                <w:i w:val="0"/>
                <w:iCs w:val="0"/>
                <w:color w:val="auto"/>
                <w:sz w:val="24"/>
                <w:szCs w:val="24"/>
                <w:highlight w:val="none"/>
                <w:u w:val="none"/>
                <w:lang w:val="en-US" w:eastAsia="zh-CN"/>
              </w:rPr>
              <w:t>效益</w:t>
            </w:r>
          </w:p>
        </w:tc>
        <w:tc>
          <w:tcPr>
            <w:tcW w:w="726" w:type="dxa"/>
            <w:vMerge w:val="restart"/>
            <w:tcBorders>
              <w:top w:val="single" w:color="000000" w:sz="4" w:space="0"/>
              <w:left w:val="single" w:color="000000" w:sz="4" w:space="0"/>
              <w:right w:val="single" w:color="000000" w:sz="4" w:space="0"/>
            </w:tcBorders>
            <w:noWrap w:val="0"/>
            <w:vAlign w:val="center"/>
          </w:tcPr>
          <w:p w14:paraId="52048E14">
            <w:pPr>
              <w:keepNext w:val="0"/>
              <w:keepLines w:val="0"/>
              <w:pageBreakBefore w:val="0"/>
              <w:kinsoku/>
              <w:wordWrap/>
              <w:overflowPunct/>
              <w:topLinePunct w:val="0"/>
              <w:autoSpaceDE/>
              <w:autoSpaceDN/>
              <w:bidi w:val="0"/>
              <w:adjustRightInd/>
              <w:snapToGrid/>
              <w:spacing w:line="260" w:lineRule="exact"/>
              <w:jc w:val="center"/>
              <w:rPr>
                <w:rFonts w:hint="default" w:ascii="仿宋_GB2312" w:hAnsi="仿宋_GB2312" w:eastAsia="仿宋_GB2312" w:cs="仿宋_GB2312"/>
                <w:b w:val="0"/>
                <w:bCs w:val="0"/>
                <w:i w:val="0"/>
                <w:iCs w:val="0"/>
                <w:color w:val="auto"/>
                <w:sz w:val="24"/>
                <w:szCs w:val="24"/>
                <w:highlight w:val="none"/>
                <w:u w:val="none"/>
                <w:lang w:val="en-US" w:eastAsia="zh-CN"/>
              </w:rPr>
            </w:pPr>
            <w:r>
              <w:rPr>
                <w:rFonts w:hint="eastAsia" w:ascii="仿宋_GB2312" w:hAnsi="仿宋_GB2312" w:eastAsia="仿宋_GB2312" w:cs="仿宋_GB2312"/>
                <w:b w:val="0"/>
                <w:bCs w:val="0"/>
                <w:i w:val="0"/>
                <w:iCs w:val="0"/>
                <w:color w:val="auto"/>
                <w:sz w:val="24"/>
                <w:szCs w:val="24"/>
                <w:highlight w:val="none"/>
                <w:u w:val="none"/>
                <w:lang w:val="en-US" w:eastAsia="zh-CN"/>
              </w:rPr>
              <w:t>35</w:t>
            </w:r>
          </w:p>
        </w:tc>
        <w:tc>
          <w:tcPr>
            <w:tcW w:w="14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37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社会效益</w:t>
            </w: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70307C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改善区域内环境卫生状况</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11410E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44" w:type="dxa"/>
            <w:tcBorders>
              <w:top w:val="single" w:color="000000" w:sz="4" w:space="0"/>
              <w:left w:val="single" w:color="000000" w:sz="4" w:space="0"/>
              <w:bottom w:val="single" w:color="000000" w:sz="4" w:space="0"/>
              <w:right w:val="nil"/>
            </w:tcBorders>
            <w:noWrap/>
            <w:vAlign w:val="center"/>
          </w:tcPr>
          <w:p w14:paraId="30DA709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013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18" w:type="dxa"/>
            <w:vMerge w:val="continue"/>
            <w:tcBorders>
              <w:right w:val="single" w:color="000000" w:sz="4" w:space="0"/>
            </w:tcBorders>
            <w:noWrap w:val="0"/>
            <w:vAlign w:val="center"/>
          </w:tcPr>
          <w:p w14:paraId="58D9F1A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p>
        </w:tc>
        <w:tc>
          <w:tcPr>
            <w:tcW w:w="726" w:type="dxa"/>
            <w:vMerge w:val="continue"/>
            <w:tcBorders>
              <w:left w:val="single" w:color="000000" w:sz="4" w:space="0"/>
              <w:right w:val="single" w:color="000000" w:sz="4" w:space="0"/>
            </w:tcBorders>
            <w:noWrap w:val="0"/>
            <w:vAlign w:val="center"/>
          </w:tcPr>
          <w:p w14:paraId="1F53850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p>
        </w:tc>
        <w:tc>
          <w:tcPr>
            <w:tcW w:w="1441" w:type="dxa"/>
            <w:vMerge w:val="continue"/>
            <w:tcBorders>
              <w:left w:val="single" w:color="000000" w:sz="4" w:space="0"/>
              <w:right w:val="single" w:color="000000" w:sz="4" w:space="0"/>
            </w:tcBorders>
            <w:noWrap w:val="0"/>
            <w:vAlign w:val="center"/>
          </w:tcPr>
          <w:p w14:paraId="2A0D8B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388101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提升镇区形象情况</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35BA5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44" w:type="dxa"/>
            <w:tcBorders>
              <w:top w:val="single" w:color="000000" w:sz="4" w:space="0"/>
              <w:left w:val="single" w:color="000000" w:sz="4" w:space="0"/>
              <w:bottom w:val="single" w:color="000000" w:sz="4" w:space="0"/>
              <w:right w:val="nil"/>
            </w:tcBorders>
            <w:noWrap/>
            <w:vAlign w:val="center"/>
          </w:tcPr>
          <w:p w14:paraId="0F420D1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58AF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218" w:type="dxa"/>
            <w:vMerge w:val="continue"/>
            <w:tcBorders>
              <w:top w:val="single" w:color="000000" w:sz="4" w:space="0"/>
              <w:bottom w:val="single" w:color="000000" w:sz="4" w:space="0"/>
              <w:right w:val="single" w:color="000000" w:sz="4" w:space="0"/>
            </w:tcBorders>
            <w:noWrap w:val="0"/>
            <w:vAlign w:val="center"/>
          </w:tcPr>
          <w:p w14:paraId="47EAEEB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1515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E94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381FB6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促进区域经济社会高质量发展情况</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67D4A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w:t>
            </w:r>
          </w:p>
        </w:tc>
        <w:tc>
          <w:tcPr>
            <w:tcW w:w="844" w:type="dxa"/>
            <w:tcBorders>
              <w:top w:val="single" w:color="000000" w:sz="4" w:space="0"/>
              <w:left w:val="single" w:color="000000" w:sz="4" w:space="0"/>
              <w:bottom w:val="single" w:color="000000" w:sz="4" w:space="0"/>
              <w:right w:val="nil"/>
            </w:tcBorders>
            <w:noWrap/>
            <w:vAlign w:val="center"/>
          </w:tcPr>
          <w:p w14:paraId="3564549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3.6</w:t>
            </w:r>
          </w:p>
        </w:tc>
      </w:tr>
      <w:tr w14:paraId="1CE3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8" w:type="dxa"/>
            <w:vMerge w:val="continue"/>
            <w:tcBorders>
              <w:top w:val="single" w:color="000000" w:sz="4" w:space="0"/>
              <w:bottom w:val="single" w:color="000000" w:sz="4" w:space="0"/>
              <w:right w:val="single" w:color="000000" w:sz="4" w:space="0"/>
            </w:tcBorders>
            <w:noWrap w:val="0"/>
            <w:vAlign w:val="center"/>
          </w:tcPr>
          <w:p w14:paraId="5B28766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C36A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5D9E76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32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生态效益情况</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CCBCB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844" w:type="dxa"/>
            <w:tcBorders>
              <w:top w:val="single" w:color="000000" w:sz="4" w:space="0"/>
              <w:left w:val="single" w:color="000000" w:sz="4" w:space="0"/>
              <w:bottom w:val="single" w:color="000000" w:sz="4" w:space="0"/>
              <w:right w:val="nil"/>
            </w:tcBorders>
            <w:noWrap/>
            <w:vAlign w:val="center"/>
          </w:tcPr>
          <w:p w14:paraId="600CF86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4.5</w:t>
            </w:r>
          </w:p>
        </w:tc>
      </w:tr>
      <w:tr w14:paraId="66CA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218" w:type="dxa"/>
            <w:vMerge w:val="continue"/>
            <w:tcBorders>
              <w:top w:val="single" w:color="000000" w:sz="4" w:space="0"/>
              <w:bottom w:val="single" w:color="000000" w:sz="4" w:space="0"/>
              <w:right w:val="single" w:color="000000" w:sz="4" w:space="0"/>
            </w:tcBorders>
            <w:noWrap w:val="0"/>
            <w:vAlign w:val="center"/>
          </w:tcPr>
          <w:p w14:paraId="6E97C35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E942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04C9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可持续影响</w:t>
            </w:r>
          </w:p>
        </w:tc>
        <w:tc>
          <w:tcPr>
            <w:tcW w:w="3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26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项目长效运管及可持续</w:t>
            </w:r>
          </w:p>
          <w:p w14:paraId="66F7AF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发展情况</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19F38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w:t>
            </w:r>
          </w:p>
        </w:tc>
        <w:tc>
          <w:tcPr>
            <w:tcW w:w="844" w:type="dxa"/>
            <w:tcBorders>
              <w:top w:val="single" w:color="000000" w:sz="4" w:space="0"/>
              <w:left w:val="single" w:color="000000" w:sz="4" w:space="0"/>
              <w:bottom w:val="single" w:color="000000" w:sz="4" w:space="0"/>
              <w:right w:val="nil"/>
            </w:tcBorders>
            <w:noWrap/>
            <w:vAlign w:val="center"/>
          </w:tcPr>
          <w:p w14:paraId="2F11F08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4</w:t>
            </w:r>
          </w:p>
        </w:tc>
      </w:tr>
      <w:tr w14:paraId="27AA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218" w:type="dxa"/>
            <w:vMerge w:val="continue"/>
            <w:tcBorders>
              <w:top w:val="single" w:color="000000" w:sz="4" w:space="0"/>
              <w:bottom w:val="single" w:color="000000" w:sz="4" w:space="0"/>
              <w:right w:val="single" w:color="000000" w:sz="4" w:space="0"/>
            </w:tcBorders>
            <w:noWrap w:val="0"/>
            <w:vAlign w:val="center"/>
          </w:tcPr>
          <w:p w14:paraId="797E417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6535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7E595FC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lang w:val="en-US" w:eastAsia="zh-CN"/>
              </w:rPr>
            </w:pPr>
            <w:r>
              <w:rPr>
                <w:rFonts w:hint="eastAsia" w:ascii="仿宋_GB2312" w:hAnsi="仿宋_GB2312" w:eastAsia="仿宋_GB2312" w:cs="仿宋_GB2312"/>
                <w:b w:val="0"/>
                <w:bCs w:val="0"/>
                <w:i w:val="0"/>
                <w:iCs w:val="0"/>
                <w:color w:val="auto"/>
                <w:sz w:val="24"/>
                <w:szCs w:val="24"/>
                <w:highlight w:val="none"/>
                <w:u w:val="none"/>
                <w:lang w:val="en-US" w:eastAsia="zh-CN"/>
              </w:rPr>
              <w:t>受表彰情况</w:t>
            </w: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4721C9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是否受到上级表彰</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2754E0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w:t>
            </w:r>
          </w:p>
        </w:tc>
        <w:tc>
          <w:tcPr>
            <w:tcW w:w="844" w:type="dxa"/>
            <w:tcBorders>
              <w:top w:val="single" w:color="000000" w:sz="4" w:space="0"/>
              <w:left w:val="single" w:color="000000" w:sz="4" w:space="0"/>
              <w:bottom w:val="single" w:color="000000" w:sz="4" w:space="0"/>
              <w:right w:val="nil"/>
            </w:tcBorders>
            <w:noWrap/>
            <w:vAlign w:val="center"/>
          </w:tcPr>
          <w:p w14:paraId="1B081D2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0</w:t>
            </w:r>
          </w:p>
        </w:tc>
      </w:tr>
      <w:tr w14:paraId="1C2E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8" w:type="dxa"/>
            <w:vMerge w:val="continue"/>
            <w:tcBorders>
              <w:top w:val="single" w:color="000000" w:sz="4" w:space="0"/>
              <w:bottom w:val="single" w:color="000000" w:sz="4" w:space="0"/>
              <w:right w:val="single" w:color="000000" w:sz="4" w:space="0"/>
            </w:tcBorders>
            <w:noWrap w:val="0"/>
            <w:vAlign w:val="center"/>
          </w:tcPr>
          <w:p w14:paraId="7980B77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4264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val="0"/>
                <w:i w:val="0"/>
                <w:iCs w:val="0"/>
                <w:color w:val="auto"/>
                <w:sz w:val="24"/>
                <w:szCs w:val="24"/>
                <w:highlight w:val="none"/>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3B9FAC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满意度</w:t>
            </w: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322B1D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社会公众及服务对象认可度和满意度</w:t>
            </w:r>
          </w:p>
        </w:tc>
        <w:tc>
          <w:tcPr>
            <w:tcW w:w="779" w:type="dxa"/>
            <w:tcBorders>
              <w:top w:val="single" w:color="000000" w:sz="4" w:space="0"/>
              <w:left w:val="single" w:color="000000" w:sz="4" w:space="0"/>
              <w:bottom w:val="single" w:color="000000" w:sz="4" w:space="0"/>
              <w:right w:val="single" w:color="auto" w:sz="4" w:space="0"/>
            </w:tcBorders>
            <w:noWrap w:val="0"/>
            <w:vAlign w:val="center"/>
          </w:tcPr>
          <w:p w14:paraId="21F028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10</w:t>
            </w:r>
          </w:p>
        </w:tc>
        <w:tc>
          <w:tcPr>
            <w:tcW w:w="844" w:type="dxa"/>
            <w:tcBorders>
              <w:top w:val="single" w:color="000000" w:sz="4" w:space="0"/>
              <w:left w:val="single" w:color="000000" w:sz="4" w:space="0"/>
              <w:bottom w:val="single" w:color="000000" w:sz="4" w:space="0"/>
              <w:right w:val="nil"/>
            </w:tcBorders>
            <w:noWrap/>
            <w:vAlign w:val="center"/>
          </w:tcPr>
          <w:p w14:paraId="607BD08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val="0"/>
                <w:bCs w:val="0"/>
                <w:i w:val="0"/>
                <w:iCs w:val="0"/>
                <w:color w:val="000000"/>
                <w:kern w:val="0"/>
                <w:sz w:val="24"/>
                <w:szCs w:val="24"/>
                <w:highlight w:val="none"/>
                <w:u w:val="none"/>
                <w:lang w:val="en-US" w:eastAsia="zh-CN" w:bidi="ar"/>
              </w:rPr>
              <w:t>9.17</w:t>
            </w:r>
          </w:p>
        </w:tc>
      </w:tr>
      <w:tr w14:paraId="5789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218" w:type="dxa"/>
            <w:tcBorders>
              <w:top w:val="single" w:color="000000" w:sz="4" w:space="0"/>
              <w:bottom w:val="single" w:color="000000" w:sz="4" w:space="0"/>
              <w:right w:val="single" w:color="000000" w:sz="4" w:space="0"/>
            </w:tcBorders>
            <w:noWrap w:val="0"/>
            <w:vAlign w:val="center"/>
          </w:tcPr>
          <w:p w14:paraId="7769D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0AD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i w:val="0"/>
                <w:iCs w:val="0"/>
                <w:color w:val="auto"/>
                <w:sz w:val="24"/>
                <w:szCs w:val="24"/>
                <w:highlight w:val="none"/>
                <w:u w:val="none"/>
                <w:lang w:val="en-US" w:eastAsia="zh-CN"/>
              </w:rPr>
              <w:t>35</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14:paraId="2DD0629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p>
        </w:tc>
        <w:tc>
          <w:tcPr>
            <w:tcW w:w="3370" w:type="dxa"/>
            <w:tcBorders>
              <w:top w:val="single" w:color="000000" w:sz="4" w:space="0"/>
              <w:left w:val="single" w:color="000000" w:sz="4" w:space="0"/>
              <w:bottom w:val="single" w:color="000000" w:sz="4" w:space="0"/>
              <w:right w:val="single" w:color="000000" w:sz="4" w:space="0"/>
            </w:tcBorders>
            <w:noWrap w:val="0"/>
            <w:vAlign w:val="center"/>
          </w:tcPr>
          <w:p w14:paraId="699919E5">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仿宋_GB2312" w:hAnsi="仿宋_GB2312" w:eastAsia="仿宋_GB2312" w:cs="仿宋_GB2312"/>
                <w:b w:val="0"/>
                <w:bCs w:val="0"/>
                <w:i w:val="0"/>
                <w:iCs w:val="0"/>
                <w:color w:val="000000"/>
                <w:kern w:val="0"/>
                <w:sz w:val="24"/>
                <w:szCs w:val="24"/>
                <w:highlight w:val="none"/>
                <w:u w:val="none"/>
                <w:lang w:val="en-US" w:eastAsia="zh-CN" w:bidi="ar"/>
              </w:rPr>
            </w:pPr>
            <w:r>
              <w:rPr>
                <w:rFonts w:hint="eastAsia" w:ascii="仿宋_GB2312" w:hAnsi="仿宋_GB2312" w:eastAsia="仿宋_GB2312" w:cs="仿宋_GB2312"/>
                <w:b/>
                <w:bCs/>
                <w:color w:val="auto"/>
                <w:sz w:val="24"/>
                <w:szCs w:val="24"/>
                <w:highlight w:val="none"/>
              </w:rPr>
              <w:t>—</w:t>
            </w:r>
          </w:p>
        </w:tc>
        <w:tc>
          <w:tcPr>
            <w:tcW w:w="779" w:type="dxa"/>
            <w:tcBorders>
              <w:top w:val="single" w:color="000000" w:sz="4" w:space="0"/>
              <w:left w:val="single" w:color="000000" w:sz="4" w:space="0"/>
              <w:bottom w:val="single" w:color="000000" w:sz="4" w:space="0"/>
              <w:right w:val="single" w:color="auto" w:sz="4" w:space="0"/>
            </w:tcBorders>
            <w:noWrap w:val="0"/>
            <w:vAlign w:val="center"/>
          </w:tcPr>
          <w:p w14:paraId="329374B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000000"/>
                <w:kern w:val="0"/>
                <w:sz w:val="24"/>
                <w:szCs w:val="24"/>
                <w:highlight w:val="none"/>
                <w:u w:val="none"/>
                <w:lang w:val="en-US" w:eastAsia="zh-CN" w:bidi="ar"/>
              </w:rPr>
              <w:instrText xml:space="preserve"> = sum(E2:E9) \* MERGEFORMAT </w:instrTex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35</w: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end"/>
            </w:r>
          </w:p>
        </w:tc>
        <w:tc>
          <w:tcPr>
            <w:tcW w:w="844" w:type="dxa"/>
            <w:tcBorders>
              <w:top w:val="single" w:color="000000" w:sz="4" w:space="0"/>
              <w:left w:val="single" w:color="000000" w:sz="4" w:space="0"/>
              <w:bottom w:val="single" w:color="000000" w:sz="4" w:space="0"/>
              <w:right w:val="nil"/>
            </w:tcBorders>
            <w:noWrap w:val="0"/>
            <w:vAlign w:val="center"/>
          </w:tcPr>
          <w:p w14:paraId="657FEC0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begin"/>
            </w:r>
            <w:r>
              <w:rPr>
                <w:rFonts w:hint="eastAsia" w:ascii="仿宋_GB2312" w:hAnsi="仿宋_GB2312" w:eastAsia="仿宋_GB2312" w:cs="仿宋_GB2312"/>
                <w:b/>
                <w:bCs/>
                <w:i w:val="0"/>
                <w:iCs w:val="0"/>
                <w:color w:val="000000"/>
                <w:kern w:val="0"/>
                <w:sz w:val="24"/>
                <w:szCs w:val="24"/>
                <w:highlight w:val="none"/>
                <w:u w:val="none"/>
                <w:lang w:val="en-US" w:eastAsia="zh-CN" w:bidi="ar"/>
              </w:rPr>
              <w:instrText xml:space="preserve"> = sum(F2:F8) \* MERGEFORMAT </w:instrTex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separate"/>
            </w:r>
            <w:r>
              <w:rPr>
                <w:rFonts w:hint="eastAsia" w:ascii="仿宋_GB2312" w:hAnsi="仿宋_GB2312" w:eastAsia="仿宋_GB2312" w:cs="仿宋_GB2312"/>
                <w:b/>
                <w:bCs/>
                <w:i w:val="0"/>
                <w:iCs w:val="0"/>
                <w:color w:val="000000"/>
                <w:kern w:val="0"/>
                <w:sz w:val="24"/>
                <w:szCs w:val="24"/>
                <w:highlight w:val="none"/>
                <w:u w:val="none"/>
                <w:lang w:val="en-US" w:eastAsia="zh-CN" w:bidi="ar"/>
              </w:rPr>
              <w:t>28.47</w:t>
            </w:r>
            <w:r>
              <w:rPr>
                <w:rFonts w:hint="eastAsia" w:ascii="仿宋_GB2312" w:hAnsi="仿宋_GB2312" w:eastAsia="仿宋_GB2312" w:cs="仿宋_GB2312"/>
                <w:b/>
                <w:bCs/>
                <w:i w:val="0"/>
                <w:iCs w:val="0"/>
                <w:color w:val="000000"/>
                <w:kern w:val="0"/>
                <w:sz w:val="24"/>
                <w:szCs w:val="24"/>
                <w:highlight w:val="none"/>
                <w:u w:val="none"/>
                <w:lang w:val="en-US" w:eastAsia="zh-CN" w:bidi="ar"/>
              </w:rPr>
              <w:fldChar w:fldCharType="end"/>
            </w:r>
          </w:p>
        </w:tc>
      </w:tr>
    </w:tbl>
    <w:p w14:paraId="5F552919">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1.社会效益方面。</w:t>
      </w:r>
      <w:r>
        <w:rPr>
          <w:rFonts w:ascii="仿宋_GB2312" w:hAnsi="仿宋_GB2312" w:eastAsia="仿宋_GB2312" w:cs="仿宋_GB2312"/>
          <w:color w:val="auto"/>
          <w:kern w:val="2"/>
          <w:sz w:val="32"/>
          <w:szCs w:val="32"/>
          <w:lang w:bidi="ar-SA"/>
        </w:rPr>
        <w:t>该项目的实施提升了镇区管理和环卫工作的整体效能，有效改善了镇区的环境卫生质量与水平，优化了居民的生活环境，并成功展示了镇区的新面貌。因此，该项目具有</w:t>
      </w:r>
      <w:r>
        <w:rPr>
          <w:rFonts w:hint="eastAsia" w:ascii="仿宋_GB2312" w:hAnsi="仿宋_GB2312" w:eastAsia="仿宋_GB2312" w:cs="仿宋_GB2312"/>
          <w:color w:val="auto"/>
          <w:kern w:val="2"/>
          <w:sz w:val="32"/>
          <w:szCs w:val="32"/>
          <w:lang w:val="en-US" w:eastAsia="zh-CN" w:bidi="ar-SA"/>
        </w:rPr>
        <w:t>良好</w:t>
      </w:r>
      <w:r>
        <w:rPr>
          <w:rFonts w:ascii="仿宋_GB2312" w:hAnsi="仿宋_GB2312" w:eastAsia="仿宋_GB2312" w:cs="仿宋_GB2312"/>
          <w:color w:val="auto"/>
          <w:kern w:val="2"/>
          <w:sz w:val="32"/>
          <w:szCs w:val="32"/>
          <w:lang w:bidi="ar-SA"/>
        </w:rPr>
        <w:t>的社会效益。</w:t>
      </w:r>
    </w:p>
    <w:p w14:paraId="68393E80">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2.生态效益方面。</w:t>
      </w:r>
      <w:r>
        <w:rPr>
          <w:rFonts w:ascii="仿宋_GB2312" w:hAnsi="仿宋_GB2312" w:eastAsia="仿宋_GB2312" w:cs="仿宋_GB2312"/>
          <w:color w:val="auto"/>
          <w:kern w:val="2"/>
          <w:sz w:val="32"/>
          <w:szCs w:val="32"/>
          <w:lang w:bidi="ar-SA"/>
        </w:rPr>
        <w:t>通过加强环境卫生管理，有效改善了生态环境，为保护自然环境做出了积极贡献，并为镇区的可持续发展奠定了坚实基础。因此，该项目具有</w:t>
      </w:r>
      <w:r>
        <w:rPr>
          <w:rFonts w:hint="eastAsia" w:ascii="仿宋_GB2312" w:hAnsi="仿宋_GB2312" w:eastAsia="仿宋_GB2312" w:cs="仿宋_GB2312"/>
          <w:color w:val="auto"/>
          <w:kern w:val="2"/>
          <w:sz w:val="32"/>
          <w:szCs w:val="32"/>
          <w:lang w:val="en-US" w:eastAsia="zh-CN" w:bidi="ar-SA"/>
        </w:rPr>
        <w:t>良好</w:t>
      </w:r>
      <w:r>
        <w:rPr>
          <w:rFonts w:ascii="仿宋_GB2312" w:hAnsi="仿宋_GB2312" w:eastAsia="仿宋_GB2312" w:cs="仿宋_GB2312"/>
          <w:color w:val="auto"/>
          <w:kern w:val="2"/>
          <w:sz w:val="32"/>
          <w:szCs w:val="32"/>
          <w:lang w:bidi="ar-SA"/>
        </w:rPr>
        <w:t>的生态效益。</w:t>
      </w:r>
    </w:p>
    <w:p w14:paraId="051353AA">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highlight w:val="none"/>
          <w:lang w:val="en-US" w:eastAsia="zh-CN"/>
        </w:rPr>
        <w:t>3.可</w:t>
      </w:r>
      <w:r>
        <w:rPr>
          <w:rFonts w:hint="eastAsia" w:ascii="仿宋_GB2312" w:hAnsi="仿宋_GB2312" w:eastAsia="仿宋_GB2312" w:cs="仿宋_GB2312"/>
          <w:color w:val="auto"/>
          <w:kern w:val="2"/>
          <w:sz w:val="32"/>
          <w:szCs w:val="32"/>
          <w:lang w:val="en-US" w:eastAsia="zh-CN" w:bidi="ar-SA"/>
        </w:rPr>
        <w:t>持续影响方面。</w:t>
      </w:r>
      <w:r>
        <w:rPr>
          <w:rFonts w:ascii="仿宋_GB2312" w:hAnsi="仿宋_GB2312" w:eastAsia="仿宋_GB2312" w:cs="仿宋_GB2312"/>
          <w:color w:val="auto"/>
          <w:kern w:val="2"/>
          <w:sz w:val="32"/>
          <w:szCs w:val="32"/>
          <w:lang w:bidi="ar-SA"/>
        </w:rPr>
        <w:t>该项目的实施有效推动了当地经济的发展，</w:t>
      </w:r>
      <w:r>
        <w:rPr>
          <w:rFonts w:hint="eastAsia" w:ascii="仿宋_GB2312" w:hAnsi="仿宋_GB2312" w:eastAsia="仿宋_GB2312" w:cs="仿宋_GB2312"/>
          <w:color w:val="auto"/>
          <w:kern w:val="2"/>
          <w:sz w:val="32"/>
          <w:szCs w:val="32"/>
          <w:lang w:eastAsia="zh-CN" w:bidi="ar-SA"/>
        </w:rPr>
        <w:t>带动了相关产业的繁荣</w:t>
      </w:r>
      <w:r>
        <w:rPr>
          <w:rFonts w:ascii="仿宋_GB2312" w:hAnsi="仿宋_GB2312" w:eastAsia="仿宋_GB2312" w:cs="仿宋_GB2312"/>
          <w:color w:val="auto"/>
          <w:kern w:val="2"/>
          <w:sz w:val="32"/>
          <w:szCs w:val="32"/>
          <w:lang w:bidi="ar-SA"/>
        </w:rPr>
        <w:t>，为镇区的可持续发展奠定了坚实基础。然而，</w:t>
      </w:r>
      <w:r>
        <w:rPr>
          <w:rFonts w:hint="eastAsia" w:ascii="仿宋_GB2312" w:hAnsi="仿宋_GB2312" w:eastAsia="仿宋_GB2312" w:cs="仿宋_GB2312"/>
          <w:color w:val="auto"/>
          <w:kern w:val="2"/>
          <w:sz w:val="32"/>
          <w:szCs w:val="32"/>
          <w:lang w:eastAsia="zh-CN" w:bidi="ar-SA"/>
        </w:rPr>
        <w:t>后期的管护工作及长效运营保障机制仍有待进一步完善</w:t>
      </w:r>
      <w:r>
        <w:rPr>
          <w:rFonts w:ascii="仿宋_GB2312" w:hAnsi="仿宋_GB2312" w:eastAsia="仿宋_GB2312" w:cs="仿宋_GB2312"/>
          <w:color w:val="auto"/>
          <w:kern w:val="2"/>
          <w:sz w:val="32"/>
          <w:szCs w:val="32"/>
          <w:lang w:bidi="ar-SA"/>
        </w:rPr>
        <w:t>。</w:t>
      </w:r>
    </w:p>
    <w:p w14:paraId="0A3A23E3">
      <w:pPr>
        <w:keepNext w:val="0"/>
        <w:keepLines w:val="0"/>
        <w:pageBreakBefore w:val="0"/>
        <w:widowControl/>
        <w:suppressLineNumbers w:val="0"/>
        <w:kinsoku/>
        <w:wordWrap/>
        <w:overflowPunct/>
        <w:topLinePunct w:val="0"/>
        <w:autoSpaceDE/>
        <w:autoSpaceDN/>
        <w:bidi w:val="0"/>
        <w:adjustRightInd/>
        <w:snapToGrid/>
        <w:spacing w:line="560" w:lineRule="exact"/>
        <w:ind w:firstLine="646"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4.受表彰情况。项目单位相关工作2024年未受到市级及以上表彰奖励。</w:t>
      </w:r>
    </w:p>
    <w:p w14:paraId="1243FFCB">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646"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5.满意度方面。</w:t>
      </w:r>
      <w:r>
        <w:rPr>
          <w:rFonts w:ascii="仿宋_GB2312" w:hAnsi="仿宋_GB2312" w:eastAsia="仿宋_GB2312" w:cs="仿宋_GB2312"/>
          <w:bCs/>
          <w:kern w:val="0"/>
          <w:sz w:val="32"/>
          <w:szCs w:val="32"/>
          <w:lang w:bidi="ar-SA"/>
        </w:rPr>
        <w:t>根据针对项目受益区群众开展的现场问卷调查结果，群众的总体满意</w:t>
      </w:r>
      <w:r>
        <w:rPr>
          <w:rFonts w:ascii="仿宋_GB2312" w:hAnsi="仿宋_GB2312" w:eastAsia="仿宋_GB2312" w:cs="仿宋_GB2312"/>
          <w:bCs/>
          <w:color w:val="auto"/>
          <w:kern w:val="0"/>
          <w:sz w:val="32"/>
          <w:szCs w:val="32"/>
          <w:lang w:bidi="ar-SA"/>
        </w:rPr>
        <w:t>度约9</w:t>
      </w:r>
      <w:r>
        <w:rPr>
          <w:rFonts w:hint="eastAsia" w:ascii="仿宋_GB2312" w:hAnsi="仿宋_GB2312" w:eastAsia="仿宋_GB2312" w:cs="仿宋_GB2312"/>
          <w:bCs/>
          <w:color w:val="auto"/>
          <w:kern w:val="0"/>
          <w:sz w:val="32"/>
          <w:szCs w:val="32"/>
          <w:lang w:val="en-US" w:eastAsia="zh-CN" w:bidi="ar-SA"/>
        </w:rPr>
        <w:t>1.70</w:t>
      </w:r>
      <w:r>
        <w:rPr>
          <w:rFonts w:ascii="仿宋_GB2312" w:hAnsi="仿宋_GB2312" w:eastAsia="仿宋_GB2312" w:cs="仿宋_GB2312"/>
          <w:bCs/>
          <w:color w:val="auto"/>
          <w:kern w:val="0"/>
          <w:sz w:val="32"/>
          <w:szCs w:val="32"/>
          <w:lang w:bidi="ar-SA"/>
        </w:rPr>
        <w:t>%，</w:t>
      </w:r>
      <w:r>
        <w:rPr>
          <w:rFonts w:ascii="仿宋_GB2312" w:hAnsi="仿宋_GB2312" w:eastAsia="仿宋_GB2312" w:cs="仿宋_GB2312"/>
          <w:bCs/>
          <w:kern w:val="0"/>
          <w:sz w:val="32"/>
          <w:szCs w:val="32"/>
          <w:lang w:bidi="ar-SA"/>
        </w:rPr>
        <w:t>这表明群众对项目的实施持较高满意度。</w:t>
      </w:r>
    </w:p>
    <w:p w14:paraId="67A03FDC">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评价小组认为，项目资金管理有序，经济效益，社会效益较好，群众满意度较高，专项资金的社会效益作用发挥较为充分。</w:t>
      </w:r>
    </w:p>
    <w:p w14:paraId="45AF5D5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6"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五、存在的问题及原因分析</w:t>
      </w:r>
    </w:p>
    <w:p w14:paraId="4C6B03F6">
      <w:pPr>
        <w:pStyle w:val="9"/>
        <w:keepNext w:val="0"/>
        <w:keepLines w:val="0"/>
        <w:pageBreakBefore w:val="0"/>
        <w:widowControl w:val="0"/>
        <w:kinsoku/>
        <w:wordWrap/>
        <w:overflowPunct/>
        <w:topLinePunct w:val="0"/>
        <w:autoSpaceDE/>
        <w:autoSpaceDN/>
        <w:bidi w:val="0"/>
        <w:adjustRightInd/>
        <w:snapToGrid/>
        <w:spacing w:line="560" w:lineRule="exact"/>
        <w:ind w:left="0" w:firstLine="646" w:firstLineChars="200"/>
        <w:jc w:val="both"/>
        <w:textAlignment w:val="auto"/>
        <w:rPr>
          <w:rFonts w:hint="eastAsia" w:ascii="仿宋_GB2312" w:hAnsi="仿宋_GB2312" w:eastAsia="仿宋_GB2312" w:cs="仿宋_GB2312"/>
          <w:color w:val="auto"/>
          <w:kern w:val="2"/>
          <w:sz w:val="32"/>
          <w:szCs w:val="32"/>
          <w:lang w:eastAsia="zh-CN" w:bidi="ar-SA"/>
        </w:rPr>
      </w:pPr>
      <w:r>
        <w:rPr>
          <w:rFonts w:hint="eastAsia" w:ascii="楷体" w:hAnsi="楷体" w:eastAsia="楷体" w:cs="楷体"/>
          <w:b/>
          <w:bCs/>
          <w:kern w:val="2"/>
          <w:sz w:val="32"/>
          <w:szCs w:val="32"/>
          <w:highlight w:val="none"/>
          <w:lang w:val="en-US" w:eastAsia="zh-CN" w:bidi="ar-SA"/>
        </w:rPr>
        <w:t>（一）会计凭证附件资料不完整。</w:t>
      </w:r>
      <w:r>
        <w:rPr>
          <w:rFonts w:hint="eastAsia" w:ascii="仿宋_GB2312" w:hAnsi="仿宋_GB2312" w:eastAsia="仿宋_GB2312" w:cs="仿宋_GB2312"/>
          <w:color w:val="auto"/>
          <w:sz w:val="32"/>
          <w:szCs w:val="32"/>
          <w:highlight w:val="none"/>
          <w:lang w:val="en-US" w:eastAsia="zh-CN"/>
        </w:rPr>
        <w:t>镇区树木修剪费用（74,600.00元）和春节节日氛围营造费用（93,000.00元）的部分报价单未加盖公章，且缺乏相应的验收资料；垃圾桶采购费用（42,000.00元）缺少货物接收单</w:t>
      </w:r>
      <w:r>
        <w:rPr>
          <w:rFonts w:hint="eastAsia" w:ascii="仿宋_GB2312" w:hAnsi="仿宋_GB2312" w:eastAsia="仿宋_GB2312" w:cs="仿宋_GB2312"/>
          <w:color w:val="auto"/>
          <w:kern w:val="2"/>
          <w:sz w:val="32"/>
          <w:szCs w:val="32"/>
          <w:lang w:eastAsia="zh-CN" w:bidi="ar-SA"/>
        </w:rPr>
        <w:t>。</w:t>
      </w:r>
    </w:p>
    <w:p w14:paraId="4813603E">
      <w:pPr>
        <w:pStyle w:val="9"/>
        <w:keepNext w:val="0"/>
        <w:keepLines w:val="0"/>
        <w:pageBreakBefore w:val="0"/>
        <w:kinsoku/>
        <w:wordWrap/>
        <w:overflowPunct/>
        <w:topLinePunct w:val="0"/>
        <w:autoSpaceDE/>
        <w:autoSpaceDN/>
        <w:bidi w:val="0"/>
        <w:adjustRightInd/>
        <w:snapToGrid/>
        <w:spacing w:line="560" w:lineRule="exact"/>
        <w:ind w:left="0" w:firstLine="646"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（二）制度制定尚不完善。</w:t>
      </w:r>
      <w:r>
        <w:rPr>
          <w:rFonts w:ascii="仿宋_GB2312" w:hAnsi="仿宋_GB2312" w:eastAsia="仿宋_GB2312" w:cs="仿宋_GB2312"/>
          <w:color w:val="auto"/>
          <w:kern w:val="2"/>
          <w:sz w:val="32"/>
          <w:szCs w:val="32"/>
          <w:lang w:bidi="ar-SA"/>
        </w:rPr>
        <w:t>项目</w:t>
      </w:r>
      <w:r>
        <w:rPr>
          <w:rFonts w:hint="eastAsia" w:ascii="仿宋_GB2312" w:hAnsi="仿宋_GB2312" w:eastAsia="仿宋_GB2312" w:cs="仿宋_GB2312"/>
          <w:color w:val="auto"/>
          <w:kern w:val="2"/>
          <w:sz w:val="32"/>
          <w:szCs w:val="32"/>
          <w:lang w:val="en-US" w:eastAsia="zh-CN" w:bidi="ar-SA"/>
        </w:rPr>
        <w:t>实施</w:t>
      </w:r>
      <w:r>
        <w:rPr>
          <w:rFonts w:ascii="仿宋_GB2312" w:hAnsi="仿宋_GB2312" w:eastAsia="仿宋_GB2312" w:cs="仿宋_GB2312"/>
          <w:color w:val="auto"/>
          <w:kern w:val="2"/>
          <w:sz w:val="32"/>
          <w:szCs w:val="32"/>
          <w:lang w:bidi="ar-SA"/>
        </w:rPr>
        <w:t>单位现有制度体系尚不健全，缺少财务管理制度、专项资金管理办法</w:t>
      </w:r>
      <w:r>
        <w:rPr>
          <w:rFonts w:hint="eastAsia" w:ascii="仿宋_GB2312" w:hAnsi="仿宋_GB2312" w:eastAsia="仿宋_GB2312" w:cs="仿宋_GB2312"/>
          <w:color w:val="auto"/>
          <w:kern w:val="2"/>
          <w:sz w:val="32"/>
          <w:szCs w:val="32"/>
          <w:lang w:val="en-US" w:eastAsia="zh-CN" w:bidi="ar-SA"/>
        </w:rPr>
        <w:t>及项目管理办法</w:t>
      </w:r>
      <w:r>
        <w:rPr>
          <w:rFonts w:ascii="仿宋_GB2312" w:hAnsi="仿宋_GB2312" w:eastAsia="仿宋_GB2312" w:cs="仿宋_GB2312"/>
          <w:color w:val="auto"/>
          <w:kern w:val="2"/>
          <w:sz w:val="32"/>
          <w:szCs w:val="32"/>
          <w:lang w:bidi="ar-SA"/>
        </w:rPr>
        <w:t>等。</w:t>
      </w:r>
    </w:p>
    <w:p w14:paraId="3DDCE7FA">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0"/>
        <w:textAlignment w:val="auto"/>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（三）项目绩效管理工作不够扎实。</w:t>
      </w:r>
      <w:r>
        <w:rPr>
          <w:rFonts w:hint="eastAsia" w:ascii="仿宋_GB2312" w:hAnsi="仿宋_GB2312" w:eastAsia="仿宋_GB2312" w:cs="仿宋_GB2312"/>
          <w:color w:val="auto"/>
          <w:kern w:val="2"/>
          <w:sz w:val="32"/>
          <w:szCs w:val="32"/>
          <w:highlight w:val="none"/>
          <w:lang w:val="en-US" w:eastAsia="zh-CN" w:bidi="ar-SA"/>
        </w:rPr>
        <w:t>尽管项目实施单位已开展了绩效管理工作，事前有项目绩效目标，事后进行了绩效目标完成情况考核和自评工作，也编制了项目绩效自评报告。但仍存在着个别绩效目标设置不合理、不规范，自评报告不详实等问题。</w:t>
      </w:r>
    </w:p>
    <w:p w14:paraId="79E1896A">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六、相关建议</w:t>
      </w:r>
    </w:p>
    <w:p w14:paraId="49CF6FB3">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highlight w:val="none"/>
          <w:lang w:val="en-US" w:eastAsia="zh-CN" w:bidi="ar-SA"/>
        </w:rPr>
        <w:t>（一）</w:t>
      </w:r>
      <w:r>
        <w:rPr>
          <w:rFonts w:hint="eastAsia" w:ascii="楷体" w:hAnsi="楷体" w:eastAsia="楷体" w:cs="楷体"/>
          <w:b/>
          <w:bCs/>
          <w:kern w:val="0"/>
          <w:sz w:val="32"/>
          <w:szCs w:val="32"/>
          <w:lang w:val="en-US" w:eastAsia="zh-CN"/>
        </w:rPr>
        <w:t>完善会计凭证附件，确保支付依据充分</w:t>
      </w:r>
      <w:r>
        <w:rPr>
          <w:rFonts w:hint="eastAsia" w:ascii="楷体" w:hAnsi="楷体" w:eastAsia="楷体" w:cs="楷体"/>
          <w:b/>
          <w:bCs/>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一是</w:t>
      </w:r>
      <w:r>
        <w:rPr>
          <w:rFonts w:ascii="仿宋_GB2312" w:hAnsi="仿宋_GB2312" w:eastAsia="仿宋_GB2312" w:cs="仿宋_GB2312"/>
          <w:kern w:val="2"/>
          <w:sz w:val="32"/>
          <w:szCs w:val="32"/>
          <w:lang w:bidi="ar-SA"/>
        </w:rPr>
        <w:t>及时与提供报价单的单位取得联系，要求其对未加盖公章的部分报价单补盖公章，以保证报价单的有效性和真实性。</w:t>
      </w:r>
      <w:r>
        <w:rPr>
          <w:rFonts w:hint="eastAsia" w:ascii="仿宋_GB2312" w:hAnsi="仿宋_GB2312" w:eastAsia="仿宋_GB2312" w:cs="仿宋_GB2312"/>
          <w:kern w:val="2"/>
          <w:sz w:val="32"/>
          <w:szCs w:val="32"/>
          <w:lang w:val="en-US" w:eastAsia="zh-CN" w:bidi="ar-SA"/>
        </w:rPr>
        <w:t>并</w:t>
      </w:r>
      <w:r>
        <w:rPr>
          <w:rFonts w:ascii="仿宋_GB2312" w:hAnsi="仿宋_GB2312" w:eastAsia="仿宋_GB2312" w:cs="仿宋_GB2312"/>
          <w:kern w:val="2"/>
          <w:sz w:val="32"/>
          <w:szCs w:val="32"/>
          <w:lang w:bidi="ar-SA"/>
        </w:rPr>
        <w:t>由负责项目的相关部门组织人员，对该项目进行验收并形成规范的验收资料。验收资料应详细说明修剪的范围、数量、质量等情况，且需有验收人员的签字确认。</w:t>
      </w:r>
      <w:r>
        <w:rPr>
          <w:rFonts w:hint="eastAsia" w:ascii="仿宋_GB2312" w:hAnsi="仿宋_GB2312" w:eastAsia="仿宋_GB2312" w:cs="仿宋_GB2312"/>
          <w:kern w:val="2"/>
          <w:sz w:val="32"/>
          <w:szCs w:val="32"/>
          <w:lang w:val="en-US" w:eastAsia="zh-CN" w:bidi="ar-SA"/>
        </w:rPr>
        <w:t>二是</w:t>
      </w:r>
      <w:r>
        <w:rPr>
          <w:rFonts w:ascii="仿宋_GB2312" w:hAnsi="仿宋_GB2312" w:eastAsia="仿宋_GB2312" w:cs="仿宋_GB2312"/>
          <w:kern w:val="2"/>
          <w:sz w:val="32"/>
          <w:szCs w:val="32"/>
          <w:lang w:val="en-US" w:eastAsia="zh-CN" w:bidi="ar-SA"/>
        </w:rPr>
        <w:t>尽快联系垃圾桶采购的相关负责人和收货人员，补办货物接收单。货物接收单需明确记录采购垃圾桶的数量、规格、单价、总价以及收货日期等信息，且要有收货人和送货人的签字确认，以证明货物已实际收到。通过以上措施，可使财务凭证附件资料完整、规范，符合财务核算和管理的要求。</w:t>
      </w:r>
    </w:p>
    <w:p w14:paraId="218AFF8A">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highlight w:val="none"/>
          <w:lang w:val="en-US" w:eastAsia="zh-CN" w:bidi="ar-SA"/>
        </w:rPr>
        <w:t>（二）完善现有项目管理制度，健全制度体系。</w:t>
      </w:r>
      <w:r>
        <w:rPr>
          <w:rFonts w:ascii="仿宋_GB2312" w:hAnsi="仿宋_GB2312" w:eastAsia="仿宋_GB2312" w:cs="仿宋_GB2312"/>
          <w:kern w:val="2"/>
          <w:sz w:val="32"/>
          <w:szCs w:val="32"/>
          <w:lang w:bidi="ar-SA"/>
        </w:rPr>
        <w:t>应</w:t>
      </w:r>
      <w:r>
        <w:rPr>
          <w:rFonts w:hint="eastAsia" w:ascii="仿宋_GB2312" w:hAnsi="仿宋_GB2312" w:eastAsia="仿宋_GB2312" w:cs="仿宋_GB2312"/>
          <w:kern w:val="2"/>
          <w:sz w:val="32"/>
          <w:szCs w:val="32"/>
          <w:lang w:val="en-US" w:eastAsia="zh-CN" w:bidi="ar-SA"/>
        </w:rPr>
        <w:t>健全制度体系，</w:t>
      </w:r>
      <w:r>
        <w:rPr>
          <w:rFonts w:ascii="仿宋_GB2312" w:hAnsi="仿宋_GB2312" w:eastAsia="仿宋_GB2312" w:cs="仿宋_GB2312"/>
          <w:kern w:val="2"/>
          <w:sz w:val="32"/>
          <w:szCs w:val="32"/>
          <w:lang w:bidi="ar-SA"/>
        </w:rPr>
        <w:t>尽快制定</w:t>
      </w:r>
      <w:r>
        <w:rPr>
          <w:rFonts w:ascii="仿宋_GB2312" w:hAnsi="仿宋_GB2312" w:eastAsia="仿宋_GB2312" w:cs="仿宋_GB2312"/>
          <w:color w:val="auto"/>
          <w:kern w:val="2"/>
          <w:sz w:val="32"/>
          <w:szCs w:val="32"/>
          <w:lang w:bidi="ar-SA"/>
        </w:rPr>
        <w:t>财务管理制度、专项资金管理办法</w:t>
      </w:r>
      <w:r>
        <w:rPr>
          <w:rFonts w:hint="eastAsia" w:ascii="仿宋_GB2312" w:hAnsi="仿宋_GB2312" w:eastAsia="仿宋_GB2312" w:cs="仿宋_GB2312"/>
          <w:color w:val="auto"/>
          <w:kern w:val="2"/>
          <w:sz w:val="32"/>
          <w:szCs w:val="32"/>
          <w:lang w:val="en-US" w:eastAsia="zh-CN" w:bidi="ar-SA"/>
        </w:rPr>
        <w:t>及项目管理办法</w:t>
      </w:r>
      <w:r>
        <w:rPr>
          <w:rFonts w:ascii="仿宋_GB2312" w:hAnsi="仿宋_GB2312" w:eastAsia="仿宋_GB2312" w:cs="仿宋_GB2312"/>
          <w:kern w:val="2"/>
          <w:sz w:val="32"/>
          <w:szCs w:val="32"/>
          <w:lang w:bidi="ar-SA"/>
        </w:rPr>
        <w:t>等。在制度制定过程中，需广泛征求项目各部门及相关人员的意见，充分考虑项目的实际运作需求及可能出现的问题，确保制度具有可操作性。制度制定完成后，需履行规范的审批程序，经项目单位负责人审批同意后，注明制定日期并加盖公章予以发布实施。同时，应加强对制度的宣传和培训，确保相关人员熟悉制度内容，并严格按照制度执行。</w:t>
      </w:r>
    </w:p>
    <w:p w14:paraId="0AC34942">
      <w:pPr>
        <w:keepNext w:val="0"/>
        <w:keepLines w:val="0"/>
        <w:pageBreakBefore w:val="0"/>
        <w:widowControl w:val="0"/>
        <w:kinsoku/>
        <w:wordWrap/>
        <w:overflowPunct/>
        <w:topLinePunct w:val="0"/>
        <w:autoSpaceDE/>
        <w:autoSpaceDN/>
        <w:bidi w:val="0"/>
        <w:adjustRightInd/>
        <w:snapToGrid/>
        <w:spacing w:line="560" w:lineRule="exact"/>
        <w:ind w:left="0" w:firstLine="646" w:firstLineChars="200"/>
        <w:textAlignment w:val="auto"/>
        <w:rPr>
          <w:rFonts w:hint="eastAsia" w:ascii="楷体" w:hAnsi="楷体" w:eastAsia="楷体" w:cs="楷体"/>
          <w:b/>
          <w:bCs/>
          <w:kern w:val="2"/>
          <w:sz w:val="32"/>
          <w:szCs w:val="32"/>
          <w:highlight w:val="none"/>
          <w:lang w:val="en-US" w:eastAsia="zh-CN" w:bidi="ar-SA"/>
        </w:rPr>
      </w:pPr>
      <w:bookmarkStart w:id="1" w:name="_Toc19398"/>
      <w:r>
        <w:rPr>
          <w:rFonts w:hint="eastAsia" w:ascii="楷体" w:hAnsi="楷体" w:eastAsia="楷体" w:cs="楷体"/>
          <w:b/>
          <w:bCs/>
          <w:color w:val="auto"/>
          <w:kern w:val="2"/>
          <w:sz w:val="32"/>
          <w:szCs w:val="32"/>
          <w:highlight w:val="none"/>
          <w:lang w:val="en-US" w:eastAsia="zh-CN" w:bidi="ar-SA"/>
        </w:rPr>
        <w:t>（三）</w:t>
      </w:r>
      <w:r>
        <w:rPr>
          <w:rFonts w:hint="default" w:ascii="楷体" w:hAnsi="楷体" w:eastAsia="楷体" w:cs="楷体"/>
          <w:b/>
          <w:bCs/>
          <w:color w:val="auto"/>
          <w:kern w:val="2"/>
          <w:sz w:val="32"/>
          <w:szCs w:val="32"/>
          <w:highlight w:val="none"/>
          <w:lang w:val="en-US" w:eastAsia="zh-CN" w:bidi="ar-SA"/>
        </w:rPr>
        <w:fldChar w:fldCharType="begin"/>
      </w:r>
      <w:r>
        <w:rPr>
          <w:rFonts w:hint="default" w:ascii="楷体" w:hAnsi="楷体" w:eastAsia="楷体" w:cs="楷体"/>
          <w:b/>
          <w:bCs/>
          <w:color w:val="auto"/>
          <w:kern w:val="2"/>
          <w:sz w:val="32"/>
          <w:szCs w:val="32"/>
          <w:highlight w:val="none"/>
          <w:lang w:val="en-US" w:eastAsia="zh-CN" w:bidi="ar-SA"/>
        </w:rPr>
        <w:instrText xml:space="preserve"> HYPERLINK "https://www.so.com/link?m=b2vXtyjXZMuBwFDYkdRimUwV270Tsd/pD5H4142xP/mAg30wiKok+nJwMyBTAoRPfXDjyT3YIryqtLVSAFDZBjbDa3i/J9wHK5mya6kdlea/bu0Mj18LeIr1sxAv/dZ8yBqLmA8jha/CS/LKmOkkjvoiJXgdOizd6dvjDcs6CpzoA7UBqJWTb5b3xArx16bm3DfaHHexLjsaNRevwrUqxprDtAntKQvJgZ9fccmbSYPrb0W67sKFn9vjnhqk1sjaT5/oaQhG7Np9SwVhJ2okmrAtIvI2KoIaWupQMIUxJRf9BZcmY3owdNV+t+P/+gRU6QkwP7obnaoxdrI1WLYqUY5nAS02UKySm0bod7wVL1igLbsyvlvCLMUl6b9Eg0gma/YuxLA==" \t "https://www.so.com/_blank" </w:instrText>
      </w:r>
      <w:r>
        <w:rPr>
          <w:rFonts w:hint="default" w:ascii="楷体" w:hAnsi="楷体" w:eastAsia="楷体" w:cs="楷体"/>
          <w:b/>
          <w:bCs/>
          <w:color w:val="auto"/>
          <w:kern w:val="2"/>
          <w:sz w:val="32"/>
          <w:szCs w:val="32"/>
          <w:highlight w:val="none"/>
          <w:lang w:val="en-US" w:eastAsia="zh-CN" w:bidi="ar-SA"/>
        </w:rPr>
        <w:fldChar w:fldCharType="separate"/>
      </w:r>
      <w:r>
        <w:rPr>
          <w:rFonts w:hint="default" w:ascii="楷体" w:hAnsi="楷体" w:eastAsia="楷体" w:cs="楷体"/>
          <w:b/>
          <w:bCs/>
          <w:color w:val="auto"/>
          <w:kern w:val="2"/>
          <w:sz w:val="32"/>
          <w:szCs w:val="32"/>
          <w:highlight w:val="none"/>
          <w:lang w:val="en-US" w:eastAsia="zh-CN" w:bidi="ar-SA"/>
        </w:rPr>
        <w:t>加强项目绩效管理</w:t>
      </w:r>
      <w:r>
        <w:rPr>
          <w:rFonts w:hint="eastAsia" w:ascii="楷体" w:hAnsi="楷体" w:eastAsia="楷体" w:cs="楷体"/>
          <w:b/>
          <w:bCs/>
          <w:color w:val="auto"/>
          <w:kern w:val="2"/>
          <w:sz w:val="32"/>
          <w:szCs w:val="32"/>
          <w:highlight w:val="none"/>
          <w:lang w:val="en-US" w:eastAsia="zh-CN" w:bidi="ar-SA"/>
        </w:rPr>
        <w:t>，</w:t>
      </w:r>
      <w:r>
        <w:rPr>
          <w:rFonts w:hint="default" w:ascii="楷体" w:hAnsi="楷体" w:eastAsia="楷体" w:cs="楷体"/>
          <w:b/>
          <w:bCs/>
          <w:color w:val="auto"/>
          <w:kern w:val="2"/>
          <w:sz w:val="32"/>
          <w:szCs w:val="32"/>
          <w:highlight w:val="none"/>
          <w:lang w:val="en-US" w:eastAsia="zh-CN" w:bidi="ar-SA"/>
        </w:rPr>
        <w:t>发挥财政资金使用效率</w:t>
      </w:r>
      <w:r>
        <w:rPr>
          <w:rFonts w:hint="default" w:ascii="楷体" w:hAnsi="楷体" w:eastAsia="楷体" w:cs="楷体"/>
          <w:b/>
          <w:bCs/>
          <w:color w:val="auto"/>
          <w:kern w:val="2"/>
          <w:sz w:val="32"/>
          <w:szCs w:val="32"/>
          <w:highlight w:val="none"/>
          <w:lang w:val="en-US" w:eastAsia="zh-CN" w:bidi="ar-SA"/>
        </w:rPr>
        <w:fldChar w:fldCharType="end"/>
      </w:r>
      <w:r>
        <w:rPr>
          <w:rFonts w:hint="eastAsia" w:ascii="楷体" w:hAnsi="楷体" w:eastAsia="楷体" w:cs="楷体"/>
          <w:b/>
          <w:bCs/>
          <w:color w:val="auto"/>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一是项目单位要强化预算绩效目标管理，科学设置项目绩效目标，</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i3R41Ewdd5mEguxzKHLJ0zRK9RCMpbIE2ohWRNgO+nbr7/MK322ZLB+nUyMJaIS/zPAt0Iy7kJ6updQyJj7q74l2KsT+8LTwogzKMLWZXlqrPFSZwry0iEQqSBiN9pbdSjnNJDPvQ7sPJsQH3c47w0pVhevl1fm+xbwiCme6DJL+sUfbAAUOS6XsQ9kabDDRLdm0MRhmD1cOjuAD17a62yPAihHBZCfAhbRrWmTkgrxbIDW+nGR8LLUvtxMoJur/q8fv1gGy6bCGxiNmHQkAiDWUF/6dbdbI4KyHnGEtk8HYxm61Ibfz6J+ygfbBSIxdozCDYwcmfeXFE+H4a//WbkfIr4ZRMHn8i1ODMmqr+AHDI7ZlsHxk5Z5aUg63ATuqrGEddxQWpqM="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切实增强绩效目标的完整性、相关性、适当性和可行性</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确保项目绩效目标与政策目标、社会公众需求、财政投入规模、部门职责职能、项目实施计划等相匹配。二是项目单位要切实担负起预算绩效管理主体责任，进一步完善内部管理机制，严格按照既定的项目绩效目标指标任务，制定确保项目目标实现的保障措施，同时，要加强预算绩效管理的监督检查力度，着力</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HYPERLINK "https://www.so.com/link?m=bnd0CS7m7t9AaAvPB2vH3BRP3/yfQNsp7znNkGwWuAe2gRUIUiYZWEEBblmgEYi8HDloBvW8bC0mfHnSxA9UV1RBK/q3fx8zjIVpaTUgIaI3PDpZjJw+1eKU+k5YLUEFStmegNVtQIutFjMVz2F2ygLqp5a5M4MsKcIfm1NDvADG/SVEEgtZsLfSEEFShYsXI52EGDRCuBmB4+bEXdNWf7HQiuw3pahee5pto3xMW5uZP03jp72j5kYnxo5Z8Oll7hG6fwixOvCgwBFnMyWQeGVuYLi05PdBLV6tdSyohm7xKa/ACeP3f3vzV8oTGbts7" \t "https://www.so.com/_blank"</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提高财政资金使用效益</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。三是项目实施单位要扎实开展绩效自评工作，通过对项目相关制度建立情</w:t>
      </w:r>
      <w:r>
        <w:rPr>
          <w:rFonts w:hint="eastAsia" w:ascii="仿宋_GB2312" w:hAnsi="仿宋_GB2312" w:eastAsia="仿宋_GB2312" w:cs="仿宋_GB2312"/>
          <w:kern w:val="2"/>
          <w:sz w:val="32"/>
          <w:szCs w:val="32"/>
          <w:highlight w:val="none"/>
          <w:lang w:val="en-US" w:eastAsia="zh-CN" w:bidi="ar-SA"/>
        </w:rPr>
        <w:t>况、</w:t>
      </w:r>
      <w:r>
        <w:rPr>
          <w:rFonts w:hint="eastAsia" w:ascii="仿宋_GB2312" w:hAnsi="仿宋_GB2312" w:eastAsia="仿宋_GB2312" w:cs="仿宋_GB2312"/>
          <w:b w:val="0"/>
          <w:bCs w:val="0"/>
          <w:kern w:val="2"/>
          <w:sz w:val="32"/>
          <w:szCs w:val="32"/>
          <w:highlight w:val="none"/>
          <w:lang w:val="en-US" w:eastAsia="zh-CN" w:bidi="ar-SA"/>
        </w:rPr>
        <w:t>资金</w:t>
      </w:r>
      <w:r>
        <w:rPr>
          <w:rFonts w:hint="eastAsia" w:ascii="仿宋_GB2312" w:hAnsi="仿宋_GB2312" w:eastAsia="仿宋_GB2312" w:cs="仿宋_GB2312"/>
          <w:kern w:val="2"/>
          <w:sz w:val="32"/>
          <w:szCs w:val="32"/>
          <w:highlight w:val="none"/>
          <w:lang w:val="en-US" w:eastAsia="zh-CN" w:bidi="ar-SA"/>
        </w:rPr>
        <w:t>使</w:t>
      </w:r>
      <w:r>
        <w:rPr>
          <w:rFonts w:hint="eastAsia" w:ascii="仿宋_GB2312" w:hAnsi="仿宋_GB2312" w:eastAsia="仿宋_GB2312" w:cs="仿宋_GB2312"/>
          <w:kern w:val="2"/>
          <w:sz w:val="32"/>
          <w:szCs w:val="32"/>
          <w:lang w:val="en-US" w:eastAsia="zh-CN" w:bidi="ar-SA"/>
        </w:rPr>
        <w:t>用情况、绩效目标实现等情况进行自我评价，分析存在问题及原因，及时总结经验，改进管理措施，有效提高资金管理水平和使用效益</w:t>
      </w:r>
      <w:r>
        <w:rPr>
          <w:rFonts w:hint="eastAsia" w:ascii="仿宋_GB2312" w:hAnsi="仿宋_GB2312" w:eastAsia="仿宋_GB2312" w:cs="仿宋_GB2312"/>
          <w:color w:val="auto"/>
          <w:kern w:val="2"/>
          <w:sz w:val="32"/>
          <w:szCs w:val="32"/>
          <w:highlight w:val="none"/>
          <w:lang w:val="en-US" w:eastAsia="zh-CN" w:bidi="ar-SA"/>
        </w:rPr>
        <w:t>。</w:t>
      </w:r>
    </w:p>
    <w:bookmarkEnd w:id="1"/>
    <w:p w14:paraId="4C766297">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5D39FAAD">
      <w:pPr>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color w:val="auto"/>
          <w:sz w:val="32"/>
          <w:szCs w:val="32"/>
          <w:highlight w:val="none"/>
        </w:rPr>
      </w:pPr>
    </w:p>
    <w:p w14:paraId="174F27D6">
      <w:pPr>
        <w:keepNext w:val="0"/>
        <w:keepLines w:val="0"/>
        <w:pageBreakBefore w:val="0"/>
        <w:widowControl w:val="0"/>
        <w:kinsoku/>
        <w:wordWrap/>
        <w:overflowPunct/>
        <w:topLinePunct w:val="0"/>
        <w:autoSpaceDE/>
        <w:autoSpaceDN/>
        <w:bidi w:val="0"/>
        <w:adjustRightInd/>
        <w:snapToGrid/>
        <w:spacing w:line="560" w:lineRule="exact"/>
        <w:ind w:right="0" w:firstLine="646" w:firstLineChars="200"/>
        <w:jc w:val="left"/>
        <w:textAlignment w:val="auto"/>
        <w:rPr>
          <w:rFonts w:hint="eastAsia" w:ascii="仿宋_GB2312" w:hAnsi="仿宋_GB2312" w:eastAsia="仿宋_GB2312" w:cs="仿宋_GB2312"/>
          <w:color w:val="auto"/>
          <w:sz w:val="32"/>
          <w:szCs w:val="32"/>
          <w:highlight w:val="none"/>
        </w:rPr>
      </w:pPr>
    </w:p>
    <w:p w14:paraId="422463A8">
      <w:pPr>
        <w:keepNext w:val="0"/>
        <w:keepLines w:val="0"/>
        <w:pageBreakBefore w:val="0"/>
        <w:widowControl w:val="0"/>
        <w:kinsoku/>
        <w:wordWrap/>
        <w:overflowPunct/>
        <w:topLinePunct w:val="0"/>
        <w:autoSpaceDE/>
        <w:autoSpaceDN/>
        <w:bidi w:val="0"/>
        <w:adjustRightInd/>
        <w:snapToGrid/>
        <w:spacing w:line="560" w:lineRule="exact"/>
        <w:ind w:right="0" w:firstLine="646"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2024年扶风县绛帐镇镇区管理及环卫补助资金项目绩效评价指标体系及评分表</w:t>
      </w:r>
    </w:p>
    <w:p w14:paraId="72346A33">
      <w:pPr>
        <w:keepNext w:val="0"/>
        <w:keepLines w:val="0"/>
        <w:pageBreakBefore w:val="0"/>
        <w:widowControl w:val="0"/>
        <w:kinsoku/>
        <w:wordWrap/>
        <w:overflowPunct/>
        <w:topLinePunct w:val="0"/>
        <w:autoSpaceDE/>
        <w:autoSpaceDN/>
        <w:bidi w:val="0"/>
        <w:adjustRightInd/>
        <w:snapToGrid/>
        <w:spacing w:line="660" w:lineRule="exact"/>
        <w:ind w:firstLine="323" w:firstLineChars="100"/>
        <w:textAlignment w:val="auto"/>
        <w:rPr>
          <w:rFonts w:hint="eastAsia" w:ascii="仿宋" w:hAnsi="仿宋" w:eastAsia="仿宋" w:cs="仿宋"/>
          <w:color w:val="auto"/>
          <w:sz w:val="32"/>
          <w:szCs w:val="32"/>
        </w:rPr>
      </w:pPr>
    </w:p>
    <w:p w14:paraId="66E5F0B6">
      <w:pPr>
        <w:keepNext w:val="0"/>
        <w:keepLines w:val="0"/>
        <w:pageBreakBefore w:val="0"/>
        <w:widowControl w:val="0"/>
        <w:kinsoku/>
        <w:wordWrap/>
        <w:overflowPunct/>
        <w:topLinePunct w:val="0"/>
        <w:autoSpaceDE/>
        <w:autoSpaceDN/>
        <w:bidi w:val="0"/>
        <w:adjustRightInd/>
        <w:snapToGrid/>
        <w:spacing w:line="660" w:lineRule="exact"/>
        <w:ind w:firstLine="323" w:firstLineChars="100"/>
        <w:textAlignment w:val="auto"/>
        <w:rPr>
          <w:rFonts w:hint="eastAsia" w:ascii="仿宋_GB2312" w:hAnsi="宋体" w:eastAsia="仿宋_GB2312" w:cs="宋体"/>
          <w:color w:val="auto"/>
          <w:spacing w:val="0"/>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04DEBB81">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right="0"/>
        <w:jc w:val="center"/>
        <w:textAlignment w:val="auto"/>
        <w:outlineLvl w:val="0"/>
        <w:rPr>
          <w:rFonts w:hint="eastAsia" w:ascii="仿宋_GB2312" w:hAnsi="宋体" w:eastAsia="仿宋_GB2312" w:cs="宋体"/>
          <w:color w:val="auto"/>
          <w:spacing w:val="0"/>
          <w:kern w:val="0"/>
          <w:sz w:val="32"/>
          <w:szCs w:val="32"/>
          <w:highlight w:val="none"/>
          <w:lang w:val="en-US" w:eastAsia="zh-CN"/>
        </w:rPr>
      </w:pPr>
    </w:p>
    <w:p w14:paraId="173BA08D">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right="0"/>
        <w:jc w:val="center"/>
        <w:textAlignment w:val="auto"/>
        <w:outlineLvl w:val="0"/>
        <w:rPr>
          <w:rFonts w:hint="eastAsia" w:ascii="仿宋_GB2312" w:hAnsi="宋体" w:eastAsia="仿宋_GB2312" w:cs="宋体"/>
          <w:color w:val="auto"/>
          <w:spacing w:val="0"/>
          <w:kern w:val="0"/>
          <w:sz w:val="32"/>
          <w:szCs w:val="32"/>
          <w:highlight w:val="none"/>
          <w:lang w:val="en-US" w:eastAsia="zh-CN"/>
        </w:rPr>
      </w:pPr>
    </w:p>
    <w:p w14:paraId="1648C6E1">
      <w:pPr>
        <w:keepNext w:val="0"/>
        <w:keepLines w:val="0"/>
        <w:pageBreakBefore w:val="0"/>
        <w:widowControl w:val="0"/>
        <w:tabs>
          <w:tab w:val="left" w:pos="6300"/>
          <w:tab w:val="left" w:pos="6480"/>
          <w:tab w:val="left" w:pos="6660"/>
          <w:tab w:val="left" w:pos="7050"/>
          <w:tab w:val="left" w:pos="7200"/>
          <w:tab w:val="left" w:pos="7350"/>
        </w:tabs>
        <w:kinsoku/>
        <w:wordWrap/>
        <w:overflowPunct/>
        <w:topLinePunct w:val="0"/>
        <w:autoSpaceDE/>
        <w:autoSpaceDN/>
        <w:bidi w:val="0"/>
        <w:adjustRightInd/>
        <w:snapToGrid/>
        <w:spacing w:line="660" w:lineRule="exact"/>
        <w:ind w:right="0"/>
        <w:jc w:val="center"/>
        <w:textAlignment w:val="auto"/>
        <w:outlineLvl w:val="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pacing w:val="0"/>
          <w:kern w:val="0"/>
          <w:sz w:val="32"/>
          <w:szCs w:val="32"/>
          <w:highlight w:val="none"/>
          <w:lang w:val="en-US" w:eastAsia="zh-CN"/>
        </w:rPr>
        <w:t xml:space="preserve">                    扶风县财政局</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
    <w:p w14:paraId="6E83F50C">
      <w:pPr>
        <w:keepNext w:val="0"/>
        <w:keepLines w:val="0"/>
        <w:pageBreakBefore w:val="0"/>
        <w:widowControl w:val="0"/>
        <w:tabs>
          <w:tab w:val="left" w:pos="7050"/>
          <w:tab w:val="left" w:pos="7200"/>
        </w:tabs>
        <w:kinsoku/>
        <w:wordWrap/>
        <w:overflowPunct/>
        <w:topLinePunct w:val="0"/>
        <w:autoSpaceDE/>
        <w:autoSpaceDN/>
        <w:bidi w:val="0"/>
        <w:adjustRightInd/>
        <w:snapToGrid/>
        <w:spacing w:line="660" w:lineRule="exact"/>
        <w:ind w:left="0" w:leftChars="0" w:right="0" w:firstLine="646" w:firstLineChars="200"/>
        <w:jc w:val="center"/>
        <w:textAlignment w:val="auto"/>
        <w:outlineLvl w:val="0"/>
        <w:rPr>
          <w:rFonts w:hint="eastAsia"/>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w:t>
      </w:r>
    </w:p>
    <w:p w14:paraId="3EE6C230">
      <w:pPr>
        <w:outlineLvl w:val="0"/>
        <w:rPr>
          <w:rFonts w:hint="eastAsia" w:ascii="黑体" w:hAnsi="黑体" w:eastAsia="黑体" w:cs="黑体"/>
          <w:color w:val="auto"/>
          <w:sz w:val="32"/>
          <w:szCs w:val="32"/>
          <w:highlight w:val="none"/>
        </w:rPr>
      </w:pPr>
    </w:p>
    <w:p w14:paraId="7ACDE222">
      <w:pPr>
        <w:outlineLvl w:val="0"/>
        <w:rPr>
          <w:rFonts w:hint="eastAsia" w:ascii="黑体" w:hAnsi="黑体" w:eastAsia="黑体" w:cs="黑体"/>
          <w:color w:val="auto"/>
          <w:sz w:val="32"/>
          <w:szCs w:val="32"/>
          <w:highlight w:val="none"/>
        </w:rPr>
        <w:sectPr>
          <w:headerReference r:id="rId6" w:type="first"/>
          <w:footerReference r:id="rId8" w:type="first"/>
          <w:headerReference r:id="rId5" w:type="default"/>
          <w:footerReference r:id="rId7" w:type="default"/>
          <w:pgSz w:w="11906" w:h="16838"/>
          <w:pgMar w:top="1417" w:right="1559" w:bottom="1417" w:left="1701" w:header="851" w:footer="992" w:gutter="0"/>
          <w:pgBorders>
            <w:top w:val="none" w:sz="0" w:space="0"/>
            <w:left w:val="none" w:sz="0" w:space="0"/>
            <w:bottom w:val="none" w:sz="0" w:space="0"/>
            <w:right w:val="none" w:sz="0" w:space="0"/>
          </w:pgBorders>
          <w:pgNumType w:fmt="decimal" w:start="1"/>
          <w:cols w:space="720" w:num="1"/>
          <w:titlePg/>
          <w:rtlGutter w:val="0"/>
          <w:docGrid w:type="linesAndChars" w:linePitch="327" w:charSpace="625"/>
        </w:sectPr>
      </w:pPr>
    </w:p>
    <w:p w14:paraId="34371DFB">
      <w:pPr>
        <w:outlineLvl w:val="0"/>
        <w:rPr>
          <w:rFonts w:hint="eastAsia" w:eastAsia="黑体"/>
          <w:b/>
          <w:bCs/>
          <w:sz w:val="32"/>
          <w:szCs w:val="32"/>
          <w:lang w:eastAsia="zh-CN"/>
        </w:rPr>
      </w:pPr>
      <w:r>
        <w:rPr>
          <w:rFonts w:hint="eastAsia" w:ascii="黑体" w:hAnsi="黑体" w:eastAsia="黑体" w:cs="黑体"/>
          <w:color w:val="auto"/>
          <w:sz w:val="32"/>
          <w:szCs w:val="32"/>
          <w:highlight w:val="none"/>
        </w:rPr>
        <w:t>附件</w:t>
      </w:r>
    </w:p>
    <w:p w14:paraId="6E1A2F51">
      <w:pPr>
        <w:pStyle w:val="8"/>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2024年</w:t>
      </w:r>
      <w:r>
        <w:rPr>
          <w:rFonts w:hint="eastAsia" w:ascii="仿宋_GB2312" w:hAnsi="仿宋_GB2312" w:eastAsia="仿宋_GB2312" w:cs="仿宋_GB2312"/>
          <w:b w:val="0"/>
          <w:bCs w:val="0"/>
          <w:sz w:val="32"/>
          <w:szCs w:val="32"/>
          <w:lang w:val="en-US" w:eastAsia="zh-CN"/>
        </w:rPr>
        <w:t>扶风县绛帐镇镇区管理及环卫补助资金项目</w:t>
      </w:r>
      <w:r>
        <w:rPr>
          <w:rFonts w:hint="eastAsia" w:ascii="仿宋_GB2312" w:hAnsi="仿宋_GB2312" w:eastAsia="仿宋_GB2312" w:cs="仿宋_GB2312"/>
          <w:b w:val="0"/>
          <w:bCs w:val="0"/>
          <w:sz w:val="32"/>
          <w:szCs w:val="32"/>
          <w:lang w:eastAsia="zh-CN"/>
        </w:rPr>
        <w:t>绩</w:t>
      </w:r>
      <w:r>
        <w:rPr>
          <w:rFonts w:hint="eastAsia" w:ascii="仿宋_GB2312" w:hAnsi="仿宋_GB2312" w:eastAsia="仿宋_GB2312" w:cs="仿宋_GB2312"/>
          <w:b w:val="0"/>
          <w:bCs w:val="0"/>
          <w:sz w:val="32"/>
          <w:szCs w:val="32"/>
        </w:rPr>
        <w:t>效评价指标体系及</w:t>
      </w:r>
      <w:r>
        <w:rPr>
          <w:rFonts w:hint="eastAsia" w:ascii="仿宋_GB2312" w:hAnsi="仿宋_GB2312" w:eastAsia="仿宋_GB2312" w:cs="仿宋_GB2312"/>
          <w:b w:val="0"/>
          <w:bCs w:val="0"/>
          <w:sz w:val="32"/>
          <w:szCs w:val="32"/>
          <w:lang w:val="en-US" w:eastAsia="zh-CN"/>
        </w:rPr>
        <w:t>评</w:t>
      </w:r>
      <w:r>
        <w:rPr>
          <w:rFonts w:hint="eastAsia" w:ascii="仿宋_GB2312" w:hAnsi="仿宋_GB2312" w:eastAsia="仿宋_GB2312" w:cs="仿宋_GB2312"/>
          <w:b w:val="0"/>
          <w:bCs w:val="0"/>
          <w:sz w:val="32"/>
          <w:szCs w:val="32"/>
        </w:rPr>
        <w:t>分表</w:t>
      </w:r>
    </w:p>
    <w:tbl>
      <w:tblPr>
        <w:tblStyle w:val="15"/>
        <w:tblW w:w="14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958"/>
        <w:gridCol w:w="1314"/>
        <w:gridCol w:w="7843"/>
        <w:gridCol w:w="1092"/>
        <w:gridCol w:w="1112"/>
        <w:gridCol w:w="1953"/>
      </w:tblGrid>
      <w:tr w14:paraId="596F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blHeader/>
          <w:jc w:val="center"/>
        </w:trPr>
        <w:tc>
          <w:tcPr>
            <w:tcW w:w="68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310C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95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9C96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131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F6A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w:t>
            </w:r>
            <w:r>
              <w:rPr>
                <w:rFonts w:hint="eastAsia" w:ascii="仿宋_GB2312" w:hAnsi="仿宋_GB2312" w:eastAsia="仿宋_GB2312" w:cs="仿宋_GB2312"/>
                <w:b/>
                <w:bCs/>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指标</w:t>
            </w:r>
          </w:p>
        </w:tc>
        <w:tc>
          <w:tcPr>
            <w:tcW w:w="78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7D1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三级指标评分标准</w:t>
            </w:r>
          </w:p>
        </w:tc>
        <w:tc>
          <w:tcPr>
            <w:tcW w:w="109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19B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三级指标分值权重</w:t>
            </w:r>
          </w:p>
        </w:tc>
        <w:tc>
          <w:tcPr>
            <w:tcW w:w="111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B3EB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三级指标评价得分</w:t>
            </w:r>
          </w:p>
        </w:tc>
        <w:tc>
          <w:tcPr>
            <w:tcW w:w="19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ED1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扣分原因</w:t>
            </w:r>
          </w:p>
        </w:tc>
      </w:tr>
      <w:tr w14:paraId="7118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2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决策</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12分</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1A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1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立项依据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充分性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7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①项目立项符合国家法律法规、国民经济发展规划和相关政策，得0.5分；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②项目立项符合行业发展规划和政策要求，得0.5分；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③项目立项与部门职责范围相符，属于部门履职所必需，得0.5分；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④项目属于公共财政支持范围，符合中央、地方事权支出责任划分原则，得0.5分。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0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74156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7A1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F4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468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2A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立项程序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规范性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F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①项目按照规定的程序申请设立，得0.5分；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②审批文件、材料符合相关要求，得0.5分；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③项目有完整可行的实施方案或相关报告，得0.5分；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④事前已经过必要的研究、论证、风险评估、绩效评估、集体决策，得0.5分。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0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E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DF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93F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CD4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F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目标</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2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绩效目标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Style w:val="20"/>
                <w:rFonts w:hint="eastAsia" w:ascii="仿宋_GB2312" w:hAnsi="仿宋_GB2312" w:eastAsia="仿宋_GB2312" w:cs="仿宋_GB2312"/>
                <w:lang w:val="en-US" w:eastAsia="zh-CN" w:bidi="ar"/>
              </w:rPr>
              <w:t>①符合国家相关法律法规和中省市县党委政府决策得0.5分；</w:t>
            </w:r>
            <w:r>
              <w:rPr>
                <w:rStyle w:val="20"/>
                <w:rFonts w:hint="eastAsia" w:ascii="仿宋_GB2312" w:hAnsi="仿宋_GB2312" w:eastAsia="仿宋_GB2312" w:cs="仿宋_GB2312"/>
                <w:lang w:val="en-US" w:eastAsia="zh-CN" w:bidi="ar"/>
              </w:rPr>
              <w:br w:type="textWrapping"/>
            </w:r>
            <w:r>
              <w:rPr>
                <w:rStyle w:val="20"/>
                <w:rFonts w:hint="eastAsia" w:ascii="仿宋_GB2312" w:hAnsi="仿宋_GB2312" w:eastAsia="仿宋_GB2312" w:cs="仿宋_GB2312"/>
                <w:lang w:val="en-US" w:eastAsia="zh-CN" w:bidi="ar"/>
              </w:rPr>
              <w:t>②与项目实施单位职责密切相关得0.5分；</w:t>
            </w:r>
            <w:r>
              <w:rPr>
                <w:rStyle w:val="20"/>
                <w:rFonts w:hint="eastAsia" w:ascii="仿宋_GB2312" w:hAnsi="仿宋_GB2312" w:eastAsia="仿宋_GB2312" w:cs="仿宋_GB2312"/>
                <w:lang w:val="en-US" w:eastAsia="zh-CN" w:bidi="ar"/>
              </w:rPr>
              <w:br w:type="textWrapping"/>
            </w:r>
            <w:r>
              <w:rPr>
                <w:rStyle w:val="21"/>
                <w:rFonts w:hint="eastAsia" w:ascii="仿宋_GB2312" w:hAnsi="仿宋_GB2312" w:eastAsia="仿宋_GB2312" w:cs="仿宋_GB2312"/>
                <w:color w:val="auto"/>
                <w:lang w:val="en-US" w:eastAsia="zh-CN" w:bidi="ar"/>
              </w:rPr>
              <w:t>③项目</w:t>
            </w:r>
            <w:r>
              <w:rPr>
                <w:rStyle w:val="20"/>
                <w:rFonts w:hint="eastAsia" w:ascii="仿宋_GB2312" w:hAnsi="仿宋_GB2312" w:eastAsia="仿宋_GB2312" w:cs="仿宋_GB2312"/>
                <w:lang w:val="en-US" w:eastAsia="zh-CN" w:bidi="ar"/>
              </w:rPr>
              <w:t>是改善区域内环境卫生状况及社会发展所必需</w:t>
            </w:r>
            <w:r>
              <w:rPr>
                <w:rStyle w:val="21"/>
                <w:rFonts w:hint="eastAsia" w:ascii="仿宋_GB2312" w:hAnsi="仿宋_GB2312" w:eastAsia="仿宋_GB2312" w:cs="仿宋_GB2312"/>
                <w:color w:val="auto"/>
                <w:lang w:val="en-US" w:eastAsia="zh-CN" w:bidi="ar"/>
              </w:rPr>
              <w:t>，得0.5分；</w:t>
            </w:r>
            <w:r>
              <w:rPr>
                <w:rStyle w:val="20"/>
                <w:rFonts w:hint="eastAsia" w:ascii="仿宋_GB2312" w:hAnsi="仿宋_GB2312" w:eastAsia="仿宋_GB2312" w:cs="仿宋_GB2312"/>
                <w:lang w:val="en-US" w:eastAsia="zh-CN" w:bidi="ar"/>
              </w:rPr>
              <w:br w:type="textWrapping"/>
            </w:r>
            <w:r>
              <w:rPr>
                <w:rStyle w:val="20"/>
                <w:rFonts w:hint="eastAsia" w:ascii="仿宋_GB2312" w:hAnsi="仿宋_GB2312" w:eastAsia="仿宋_GB2312" w:cs="仿宋_GB2312"/>
                <w:lang w:val="en-US" w:eastAsia="zh-CN" w:bidi="ar"/>
              </w:rPr>
              <w:t>④项目预期目标是否符合客观实际，能够在一定期限内如期实现，得0.5分。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E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4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效益指标设置不够全面、合理。</w:t>
            </w:r>
          </w:p>
        </w:tc>
      </w:tr>
      <w:tr w14:paraId="6DDB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6F7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772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3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绩效指标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明确性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5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①项目按照绩效目标申报表模板要求填报，得0.5分；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②绩效目标通过清晰、可量化的指标体现，得0.5分；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③绩效目标与项目年度任务数或计划数相对应，得0.5分；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④预算确定的项目与分配资金量相匹配，得0.5分。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2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4B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效益指标设置不够明确。</w:t>
            </w:r>
          </w:p>
        </w:tc>
      </w:tr>
      <w:tr w14:paraId="0B4F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FD0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40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投入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4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科学性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2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①预算编制经过科学论证，得0.5分；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②预算内容与项目内容相匹配，得0.5分；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③预算额度测算依据充分，并能按照标准编制，得0.5分；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④预算确定的项目投资额或资金量与工作任务相匹配，得0.5分。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5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B64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984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A44D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资金分配</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合理性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FF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①预算资金分配依据充分，得1分；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②资金分配额度合理，与项目单位或地方实际相适应，得1分。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B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3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C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p>
        </w:tc>
      </w:tr>
      <w:tr w14:paraId="6B55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87" w:type="dxa"/>
            <w:vMerge w:val="restart"/>
            <w:tcBorders>
              <w:top w:val="single" w:color="000000" w:sz="4" w:space="0"/>
              <w:left w:val="single" w:color="000000" w:sz="4" w:space="0"/>
              <w:right w:val="single" w:color="000000" w:sz="4" w:space="0"/>
            </w:tcBorders>
            <w:shd w:val="clear" w:color="auto" w:fill="auto"/>
            <w:vAlign w:val="center"/>
          </w:tcPr>
          <w:p w14:paraId="6FABC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过程17分</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B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9分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8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资金到位率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9F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资金到位率a=(实际到位资金/预算资金)×100%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得分=资金到位率a×指标分值，且a＜60%不得分。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7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29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6840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87" w:type="dxa"/>
            <w:vMerge w:val="continue"/>
            <w:tcBorders>
              <w:left w:val="single" w:color="000000" w:sz="4" w:space="0"/>
              <w:right w:val="single" w:color="000000" w:sz="4" w:space="0"/>
            </w:tcBorders>
            <w:shd w:val="clear" w:color="auto" w:fill="auto"/>
            <w:vAlign w:val="center"/>
          </w:tcPr>
          <w:p w14:paraId="0AE303A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C9C5">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4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2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预算执行率a=实际支出资金/实际到位资金×100%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得分=预算执行率a×指标分值，且a＜60%不得分。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1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9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06AE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687" w:type="dxa"/>
            <w:vMerge w:val="continue"/>
            <w:tcBorders>
              <w:left w:val="single" w:color="000000" w:sz="4" w:space="0"/>
              <w:right w:val="single" w:color="000000" w:sz="4" w:space="0"/>
            </w:tcBorders>
            <w:shd w:val="clear" w:color="auto" w:fill="auto"/>
            <w:vAlign w:val="center"/>
          </w:tcPr>
          <w:p w14:paraId="1FC1B5F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6BE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资金使用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合规性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98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①符合国家财经法规和财务管理制度以及有关专项资金管理办法，得0.5分；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②资金的拨付有完整的审批程序和手续，得1分；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③符合项目预算批复或合同、以及专项资金管理办法的用途，得1分；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④按时拨付、使用资金，得0.5分；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⑤存在截留、挤占、挪用、虚列支出等情况，扣3分。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9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A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A15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5189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jc w:val="center"/>
        </w:trPr>
        <w:tc>
          <w:tcPr>
            <w:tcW w:w="687" w:type="dxa"/>
            <w:vMerge w:val="continue"/>
            <w:tcBorders>
              <w:left w:val="single" w:color="000000" w:sz="4" w:space="0"/>
              <w:right w:val="single" w:color="000000" w:sz="4" w:space="0"/>
            </w:tcBorders>
            <w:shd w:val="clear" w:color="auto" w:fill="auto"/>
            <w:vAlign w:val="center"/>
          </w:tcPr>
          <w:p w14:paraId="0A8DE9B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80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组织</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实施</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8分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管理制度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健全性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B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①已制定项目管理、财务管理等相关制度，得1.5分；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②项目管理、财务管理等相关制度合法、合规、完整，得1.5分；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A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9D7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缺少财务管理制度、专项资金管理办法等。</w:t>
            </w:r>
          </w:p>
        </w:tc>
      </w:tr>
      <w:tr w14:paraId="79BA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687" w:type="dxa"/>
            <w:vMerge w:val="continue"/>
            <w:tcBorders>
              <w:left w:val="single" w:color="000000" w:sz="4" w:space="0"/>
              <w:bottom w:val="single" w:color="000000" w:sz="4" w:space="0"/>
              <w:right w:val="single" w:color="000000" w:sz="4" w:space="0"/>
            </w:tcBorders>
            <w:shd w:val="clear" w:color="auto" w:fill="auto"/>
            <w:vAlign w:val="center"/>
          </w:tcPr>
          <w:p w14:paraId="56097D5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470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6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制度执行  </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有效性</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E1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①能遵守相关法律法规和相关管理规定，考核记录规范、完整，得1分；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②项目调整及支出调整手续完备，得1分；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③项目实施单位人员条件、设备条件等是否落实到位，得1分；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④项目实施过程资料、检查报告等资料齐全并及时归档，得1分；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⑤项目总结（自评）及信息采集报送工作认真、内容完整、详实，得1分。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F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D5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left"/>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一是财务凭证附件资料不完整；二是项目自评工作不够规范，内容不够详实。</w:t>
            </w:r>
          </w:p>
        </w:tc>
      </w:tr>
      <w:tr w14:paraId="013E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F9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11分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D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单位成本或分项成本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节约率</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46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成本节约率=[（计划成本-实际成本）/计划成本]×100%。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成本节约率＜0不得分；工程建设类等相关项目成本节约率＝0按60%赋基础分（60%×指标分值），成本节约率≥5%得满分，0%-5%的之间按比重赋分，得分=（60%×指标分值）+（成本节约率×8×指标分值）。其他类项目成本节约率≥0即可得满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4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1A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57C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r>
      <w:tr w14:paraId="65C6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9F9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D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A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社会发展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负作用</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B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预期控制目标、部分实现预期控制目标、实现预期控制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6A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50C9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4873">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9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生态环境成本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2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自然生态环境负作用</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33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预期控制目标、部分实现预期控制目标、实现预期控制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DB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06F">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0086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A2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25分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D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数量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项目数量目标完成情况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B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计算公式：实际完成率=（实际产出数/计划产出数）×100%。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评分标准：实际完成率小于60%不得分；大于等于60%的按超过的比重赋分，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得分=（实际完成率-60%）/（1-60%）×指标分值。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C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8B8C">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p>
        </w:tc>
      </w:tr>
      <w:tr w14:paraId="5553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F0F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F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质量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项目质量目标完成情况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84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计算公式：质量达标率=（质量达标产出数/实际产出数）×100%。</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评分标准：质量达标率小于60%不得分；大于等于60%的按超过的比重赋分，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得分=（质量达标率-60%）/（1-60%）×指标分值。                                                                 （项目验收质量合格情况、现场查验质量情况及其它相关资料）。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2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1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9.5</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353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部分群众对区域内环卫设施设置不够满意</w:t>
            </w:r>
          </w:p>
        </w:tc>
      </w:tr>
      <w:tr w14:paraId="12F0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A2C4E8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时效</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7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项目按期</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完成情况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AF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全部按期完成目标得5分；部分按期完成目标得4-2分（含）；按期完成目标程度较低得2-0分。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0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63C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p>
        </w:tc>
      </w:tr>
      <w:tr w14:paraId="6CD0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7" w:type="dxa"/>
            <w:vMerge w:val="restart"/>
            <w:tcBorders>
              <w:top w:val="single" w:color="auto" w:sz="4" w:space="0"/>
              <w:left w:val="single" w:color="000000" w:sz="4" w:space="0"/>
              <w:right w:val="single" w:color="000000" w:sz="4" w:space="0"/>
            </w:tcBorders>
            <w:shd w:val="clear" w:color="auto" w:fill="auto"/>
            <w:vAlign w:val="center"/>
          </w:tcPr>
          <w:p w14:paraId="2DC80E5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效益</w:t>
            </w:r>
          </w:p>
          <w:p w14:paraId="2C293886">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35分</w:t>
            </w:r>
          </w:p>
        </w:tc>
        <w:tc>
          <w:tcPr>
            <w:tcW w:w="958" w:type="dxa"/>
            <w:vMerge w:val="restart"/>
            <w:tcBorders>
              <w:top w:val="single" w:color="000000" w:sz="4" w:space="0"/>
              <w:left w:val="single" w:color="000000" w:sz="4" w:space="0"/>
              <w:right w:val="single" w:color="000000" w:sz="4" w:space="0"/>
            </w:tcBorders>
            <w:shd w:val="clear" w:color="auto" w:fill="auto"/>
            <w:vAlign w:val="center"/>
          </w:tcPr>
          <w:p w14:paraId="3D557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效益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12分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改善区域内环境卫生状况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F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4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0B4B">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35AD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0E0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left w:val="single" w:color="000000" w:sz="4" w:space="0"/>
              <w:right w:val="single" w:color="000000" w:sz="4" w:space="0"/>
            </w:tcBorders>
            <w:shd w:val="clear" w:color="auto" w:fill="auto"/>
            <w:vAlign w:val="center"/>
          </w:tcPr>
          <w:p w14:paraId="253143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5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提升镇区形象情况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1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0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59B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7AB4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B866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vMerge w:val="continue"/>
            <w:tcBorders>
              <w:left w:val="single" w:color="000000" w:sz="4" w:space="0"/>
              <w:bottom w:val="single" w:color="000000" w:sz="4" w:space="0"/>
              <w:right w:val="single" w:color="000000" w:sz="4" w:space="0"/>
            </w:tcBorders>
            <w:shd w:val="clear" w:color="auto" w:fill="auto"/>
            <w:vAlign w:val="center"/>
          </w:tcPr>
          <w:p w14:paraId="421FA902">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7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促进区域经济社会高质量发展情况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因本指标无法量化，按评判等级赋分，分为基本实现目标、部分实现目标、实现目标程度较低三个档次，并分别按照该指标对应分值区间100%-80%（含）、80%-60%（含）、60%-0%合理确定分值。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76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1F6E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C3C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效益</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2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生态效益</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E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5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030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r>
      <w:tr w14:paraId="4D25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68EE">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5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可持续</w:t>
            </w:r>
          </w:p>
          <w:p w14:paraId="31B96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影响</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3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项目长效运管及可持续发展情况</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因本指标无法量化，按评判等级赋分，分为基本实现目标、部分实现目标、实现目标程度较低三个档次，并分别按照该指标对应分值区间100%-80%（含）、80%-60%（含）、60%-0%合理确定分值。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5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592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后期的管护工作及长效运营保障机制仍有待进一步完善。</w:t>
            </w:r>
          </w:p>
        </w:tc>
      </w:tr>
      <w:tr w14:paraId="78F2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131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D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受表彰</w:t>
            </w:r>
          </w:p>
          <w:p w14:paraId="73B453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情况</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4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是否受到上级表彰</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28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①项目相关工作受到国家级表彰奖励得3分；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②项目相关工作受到省级表彰奖励得2分；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③项目相关工作受到市级表彰奖励得1分；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④未受到表彰奖励不得分。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A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E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85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2024年未受到市级及以上表彰奖励。</w:t>
            </w:r>
          </w:p>
        </w:tc>
      </w:tr>
      <w:tr w14:paraId="1287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31B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C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   满意度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10分</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社会公众及服务对象认可度和满意度</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根据问卷调查情况综合赋分。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3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E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9.17</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9C77">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满意度约为91.70%</w:t>
            </w:r>
          </w:p>
        </w:tc>
      </w:tr>
      <w:tr w14:paraId="03D2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总分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1744">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7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41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2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A298">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89.17</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F13">
            <w:pPr>
              <w:keepNext w:val="0"/>
              <w:keepLines w:val="0"/>
              <w:pageBreakBefore w:val="0"/>
              <w:widowControl/>
              <w:kinsoku/>
              <w:wordWrap/>
              <w:overflowPunct/>
              <w:topLinePunct w:val="0"/>
              <w:autoSpaceDE/>
              <w:autoSpaceDN/>
              <w:bidi w:val="0"/>
              <w:adjustRightInd/>
              <w:snapToGrid/>
              <w:spacing w:line="300" w:lineRule="exact"/>
              <w:jc w:val="center"/>
              <w:rPr>
                <w:rFonts w:hint="default"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b/>
                <w:bCs/>
                <w:i w:val="0"/>
                <w:iCs w:val="0"/>
                <w:color w:val="000000"/>
                <w:sz w:val="18"/>
                <w:szCs w:val="18"/>
                <w:u w:val="none"/>
                <w:lang w:val="en-US" w:eastAsia="zh-CN"/>
              </w:rPr>
              <w:t>-</w:t>
            </w:r>
          </w:p>
        </w:tc>
      </w:tr>
      <w:bookmarkEnd w:id="0"/>
    </w:tbl>
    <w:p w14:paraId="4EC23733"/>
    <w:sectPr>
      <w:footerReference r:id="rId9" w:type="default"/>
      <w:pgSz w:w="16838" w:h="11906" w:orient="landscape"/>
      <w:pgMar w:top="1701" w:right="1417" w:bottom="1559"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E883">
    <w:pPr>
      <w:pStyle w:val="11"/>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21A60">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A21A60">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A7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3D974">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B3D974">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2FB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7017">
    <w:pPr>
      <w:pStyle w:val="12"/>
      <w:pBdr>
        <w:bottom w:val="single" w:color="auto" w:sz="4" w:space="1"/>
      </w:pBdr>
      <w:jc w:val="both"/>
      <w:rPr>
        <w:rFonts w:hint="eastAsia" w:ascii="仿宋" w:hAnsi="仿宋" w:eastAsia="仿宋" w:cs="仿宋"/>
        <w:sz w:val="22"/>
        <w:szCs w:val="22"/>
      </w:rPr>
    </w:pPr>
    <w:r>
      <w:rPr>
        <w:rFonts w:hint="eastAsia" w:ascii="仿宋" w:hAnsi="仿宋" w:eastAsia="仿宋" w:cs="仿宋"/>
        <w:sz w:val="22"/>
        <w:szCs w:val="22"/>
        <w:lang w:eastAsia="zh-CN"/>
      </w:rPr>
      <w:t xml:space="preserve">  2024年扶风县绛帐镇镇区管理及环卫补助资金项目</w:t>
    </w:r>
    <w:r>
      <w:rPr>
        <w:rFonts w:hint="eastAsia" w:ascii="仿宋" w:hAnsi="仿宋" w:eastAsia="仿宋" w:cs="仿宋"/>
        <w:sz w:val="22"/>
        <w:szCs w:val="22"/>
      </w:rPr>
      <w:t>绩效评价报告</w:t>
    </w:r>
  </w:p>
  <w:p w14:paraId="5EC4FA0A">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8CF4">
    <w:pPr>
      <w:pStyle w:val="12"/>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8042">
    <w:pPr>
      <w:pStyle w:val="12"/>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575D">
    <w:pPr>
      <w:pStyle w:val="12"/>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255C"/>
    <w:multiLevelType w:val="singleLevel"/>
    <w:tmpl w:val="85CA25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8"/>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zRkZDY2NGU0MGNmYzJjMTYzMmE4M2NkM2VjMmUifQ=="/>
  </w:docVars>
  <w:rsids>
    <w:rsidRoot w:val="38E37B57"/>
    <w:rsid w:val="005D620E"/>
    <w:rsid w:val="00F907CF"/>
    <w:rsid w:val="01703E3E"/>
    <w:rsid w:val="01C164C1"/>
    <w:rsid w:val="024C2375"/>
    <w:rsid w:val="026B1C72"/>
    <w:rsid w:val="02E90CD4"/>
    <w:rsid w:val="02FF0416"/>
    <w:rsid w:val="03241D96"/>
    <w:rsid w:val="034B6F8A"/>
    <w:rsid w:val="037A0CE5"/>
    <w:rsid w:val="03860857"/>
    <w:rsid w:val="038E47AA"/>
    <w:rsid w:val="03AD7431"/>
    <w:rsid w:val="040E27E3"/>
    <w:rsid w:val="04306E84"/>
    <w:rsid w:val="048535B5"/>
    <w:rsid w:val="048F6049"/>
    <w:rsid w:val="049525BD"/>
    <w:rsid w:val="049B394B"/>
    <w:rsid w:val="049F64B9"/>
    <w:rsid w:val="04BC223F"/>
    <w:rsid w:val="04E35A1E"/>
    <w:rsid w:val="04FB016E"/>
    <w:rsid w:val="05237F4F"/>
    <w:rsid w:val="056C3C30"/>
    <w:rsid w:val="05C603D6"/>
    <w:rsid w:val="065273FE"/>
    <w:rsid w:val="07145BA9"/>
    <w:rsid w:val="07585ABB"/>
    <w:rsid w:val="07A11279"/>
    <w:rsid w:val="08041AA3"/>
    <w:rsid w:val="084A7B62"/>
    <w:rsid w:val="09095327"/>
    <w:rsid w:val="095073FA"/>
    <w:rsid w:val="098179DE"/>
    <w:rsid w:val="098A7572"/>
    <w:rsid w:val="09D77A57"/>
    <w:rsid w:val="0A25335E"/>
    <w:rsid w:val="0A362002"/>
    <w:rsid w:val="0A3A1E69"/>
    <w:rsid w:val="0A3E612C"/>
    <w:rsid w:val="0A563682"/>
    <w:rsid w:val="0A717628"/>
    <w:rsid w:val="0B332B30"/>
    <w:rsid w:val="0B6111C9"/>
    <w:rsid w:val="0B665F92"/>
    <w:rsid w:val="0BAA1044"/>
    <w:rsid w:val="0C160487"/>
    <w:rsid w:val="0C346B5F"/>
    <w:rsid w:val="0CB73B2E"/>
    <w:rsid w:val="0CEB031A"/>
    <w:rsid w:val="0D6625A1"/>
    <w:rsid w:val="0D804905"/>
    <w:rsid w:val="0D9E7AD4"/>
    <w:rsid w:val="0DA22580"/>
    <w:rsid w:val="0DBD3369"/>
    <w:rsid w:val="0DD67DB9"/>
    <w:rsid w:val="0E6422DD"/>
    <w:rsid w:val="0F22557B"/>
    <w:rsid w:val="0F405190"/>
    <w:rsid w:val="0F507EBE"/>
    <w:rsid w:val="0F830C23"/>
    <w:rsid w:val="0FF80B09"/>
    <w:rsid w:val="0FFA4ED9"/>
    <w:rsid w:val="101E3DAE"/>
    <w:rsid w:val="103B18B5"/>
    <w:rsid w:val="10613C9B"/>
    <w:rsid w:val="107D01DF"/>
    <w:rsid w:val="10833831"/>
    <w:rsid w:val="10A2678D"/>
    <w:rsid w:val="10DC30EE"/>
    <w:rsid w:val="110E3A9D"/>
    <w:rsid w:val="111F3E95"/>
    <w:rsid w:val="117607E2"/>
    <w:rsid w:val="118908B4"/>
    <w:rsid w:val="11891774"/>
    <w:rsid w:val="11A1268D"/>
    <w:rsid w:val="11C92399"/>
    <w:rsid w:val="12283E31"/>
    <w:rsid w:val="125C5B50"/>
    <w:rsid w:val="125F4768"/>
    <w:rsid w:val="127E319F"/>
    <w:rsid w:val="128B2A1F"/>
    <w:rsid w:val="12EA7CAB"/>
    <w:rsid w:val="12FC647F"/>
    <w:rsid w:val="12FD56A9"/>
    <w:rsid w:val="13243D49"/>
    <w:rsid w:val="13A333BA"/>
    <w:rsid w:val="13B92C15"/>
    <w:rsid w:val="13DA7A69"/>
    <w:rsid w:val="1459564C"/>
    <w:rsid w:val="157C66C3"/>
    <w:rsid w:val="15B75DDD"/>
    <w:rsid w:val="1604014D"/>
    <w:rsid w:val="16521CC1"/>
    <w:rsid w:val="16FB5B12"/>
    <w:rsid w:val="17334565"/>
    <w:rsid w:val="175B58E8"/>
    <w:rsid w:val="177366C3"/>
    <w:rsid w:val="179121A0"/>
    <w:rsid w:val="17A728DB"/>
    <w:rsid w:val="185D11EC"/>
    <w:rsid w:val="189D3448"/>
    <w:rsid w:val="18B54B84"/>
    <w:rsid w:val="18CB46F9"/>
    <w:rsid w:val="196A76A5"/>
    <w:rsid w:val="197764F6"/>
    <w:rsid w:val="19981DE6"/>
    <w:rsid w:val="199C5D44"/>
    <w:rsid w:val="19B65659"/>
    <w:rsid w:val="19F85670"/>
    <w:rsid w:val="1A5B6B54"/>
    <w:rsid w:val="1AB53561"/>
    <w:rsid w:val="1AF06347"/>
    <w:rsid w:val="1B537AC3"/>
    <w:rsid w:val="1B7B5765"/>
    <w:rsid w:val="1B8308C6"/>
    <w:rsid w:val="1B8B06FB"/>
    <w:rsid w:val="1BBD659D"/>
    <w:rsid w:val="1BD1711E"/>
    <w:rsid w:val="1BD6553D"/>
    <w:rsid w:val="1BDA4026"/>
    <w:rsid w:val="1C2344FA"/>
    <w:rsid w:val="1C2C3E62"/>
    <w:rsid w:val="1C47360A"/>
    <w:rsid w:val="1C7A6331"/>
    <w:rsid w:val="1C7D67A1"/>
    <w:rsid w:val="1CC7132A"/>
    <w:rsid w:val="1CE64608"/>
    <w:rsid w:val="1CF674A6"/>
    <w:rsid w:val="1D0E6058"/>
    <w:rsid w:val="1D32457C"/>
    <w:rsid w:val="1D790876"/>
    <w:rsid w:val="1DE244D9"/>
    <w:rsid w:val="1E40510C"/>
    <w:rsid w:val="1E79283B"/>
    <w:rsid w:val="1E795209"/>
    <w:rsid w:val="1E8A10FE"/>
    <w:rsid w:val="1E9C59C4"/>
    <w:rsid w:val="1EAA2419"/>
    <w:rsid w:val="1ECC0A34"/>
    <w:rsid w:val="1F2E5C48"/>
    <w:rsid w:val="1F473B74"/>
    <w:rsid w:val="1F8B5B54"/>
    <w:rsid w:val="1FF163E5"/>
    <w:rsid w:val="1FF654D2"/>
    <w:rsid w:val="205E77FE"/>
    <w:rsid w:val="207F6850"/>
    <w:rsid w:val="20866000"/>
    <w:rsid w:val="209007BC"/>
    <w:rsid w:val="20AE0B8C"/>
    <w:rsid w:val="20B53735"/>
    <w:rsid w:val="20B81024"/>
    <w:rsid w:val="2186530F"/>
    <w:rsid w:val="21A02BFA"/>
    <w:rsid w:val="21AC0DA8"/>
    <w:rsid w:val="21C1072E"/>
    <w:rsid w:val="21CF728D"/>
    <w:rsid w:val="225525BF"/>
    <w:rsid w:val="22A32BCB"/>
    <w:rsid w:val="232474D6"/>
    <w:rsid w:val="23906424"/>
    <w:rsid w:val="23B51EDC"/>
    <w:rsid w:val="23CC1893"/>
    <w:rsid w:val="242566AA"/>
    <w:rsid w:val="24D02C85"/>
    <w:rsid w:val="24E809AD"/>
    <w:rsid w:val="2500205F"/>
    <w:rsid w:val="25224F71"/>
    <w:rsid w:val="25271FBB"/>
    <w:rsid w:val="258E077A"/>
    <w:rsid w:val="25B432C7"/>
    <w:rsid w:val="25B52667"/>
    <w:rsid w:val="25E60C65"/>
    <w:rsid w:val="25E94029"/>
    <w:rsid w:val="25EB7AD9"/>
    <w:rsid w:val="267A73AD"/>
    <w:rsid w:val="277D4CF6"/>
    <w:rsid w:val="278E3170"/>
    <w:rsid w:val="27B941DF"/>
    <w:rsid w:val="27C918CE"/>
    <w:rsid w:val="281F48F8"/>
    <w:rsid w:val="28413FCC"/>
    <w:rsid w:val="285F629A"/>
    <w:rsid w:val="287C5278"/>
    <w:rsid w:val="292A511A"/>
    <w:rsid w:val="29332221"/>
    <w:rsid w:val="29AE2388"/>
    <w:rsid w:val="2A135BAE"/>
    <w:rsid w:val="2A3A5429"/>
    <w:rsid w:val="2A675BA0"/>
    <w:rsid w:val="2A6A1FA9"/>
    <w:rsid w:val="2A732242"/>
    <w:rsid w:val="2A7B200E"/>
    <w:rsid w:val="2A9B3836"/>
    <w:rsid w:val="2A9E31EA"/>
    <w:rsid w:val="2AA17236"/>
    <w:rsid w:val="2B180E4B"/>
    <w:rsid w:val="2B4F5013"/>
    <w:rsid w:val="2B514D73"/>
    <w:rsid w:val="2BC76C50"/>
    <w:rsid w:val="2BD85AE5"/>
    <w:rsid w:val="2C2A6C44"/>
    <w:rsid w:val="2C71251A"/>
    <w:rsid w:val="2C9A4CA3"/>
    <w:rsid w:val="2CA314D5"/>
    <w:rsid w:val="2CDE5CC4"/>
    <w:rsid w:val="2D4E779A"/>
    <w:rsid w:val="2DAA05D8"/>
    <w:rsid w:val="2DAF3ADF"/>
    <w:rsid w:val="2DE0582D"/>
    <w:rsid w:val="2E093550"/>
    <w:rsid w:val="2E194E91"/>
    <w:rsid w:val="2E5740F7"/>
    <w:rsid w:val="2E5A3DAC"/>
    <w:rsid w:val="2E860788"/>
    <w:rsid w:val="2E8F098C"/>
    <w:rsid w:val="2EAA1167"/>
    <w:rsid w:val="2EF8431D"/>
    <w:rsid w:val="2F9B0B20"/>
    <w:rsid w:val="2FDF1531"/>
    <w:rsid w:val="304442CC"/>
    <w:rsid w:val="305F2FCA"/>
    <w:rsid w:val="30843362"/>
    <w:rsid w:val="30946043"/>
    <w:rsid w:val="30D64D0A"/>
    <w:rsid w:val="31B078CA"/>
    <w:rsid w:val="3227755A"/>
    <w:rsid w:val="32285089"/>
    <w:rsid w:val="3236586A"/>
    <w:rsid w:val="327402A5"/>
    <w:rsid w:val="32874A67"/>
    <w:rsid w:val="328A6011"/>
    <w:rsid w:val="32AC0C15"/>
    <w:rsid w:val="32AD1D1E"/>
    <w:rsid w:val="32D763CE"/>
    <w:rsid w:val="33557238"/>
    <w:rsid w:val="335E60EC"/>
    <w:rsid w:val="342C7F98"/>
    <w:rsid w:val="346E1C6B"/>
    <w:rsid w:val="34AC5BDC"/>
    <w:rsid w:val="35011425"/>
    <w:rsid w:val="350B2B3B"/>
    <w:rsid w:val="351D6B4F"/>
    <w:rsid w:val="35470E02"/>
    <w:rsid w:val="35AD6F8D"/>
    <w:rsid w:val="35B87254"/>
    <w:rsid w:val="36733381"/>
    <w:rsid w:val="367B52F9"/>
    <w:rsid w:val="36B819B2"/>
    <w:rsid w:val="36BD312A"/>
    <w:rsid w:val="372212DB"/>
    <w:rsid w:val="37501BE6"/>
    <w:rsid w:val="37B9651E"/>
    <w:rsid w:val="37E42938"/>
    <w:rsid w:val="37F46DD4"/>
    <w:rsid w:val="38085751"/>
    <w:rsid w:val="383832E4"/>
    <w:rsid w:val="3843720B"/>
    <w:rsid w:val="3853296E"/>
    <w:rsid w:val="38541A45"/>
    <w:rsid w:val="387B2DA9"/>
    <w:rsid w:val="3881462B"/>
    <w:rsid w:val="38894D34"/>
    <w:rsid w:val="388B14B0"/>
    <w:rsid w:val="38912AB4"/>
    <w:rsid w:val="38B55A69"/>
    <w:rsid w:val="38D658EE"/>
    <w:rsid w:val="38E37B57"/>
    <w:rsid w:val="393D0552"/>
    <w:rsid w:val="39855462"/>
    <w:rsid w:val="3A097516"/>
    <w:rsid w:val="3A184582"/>
    <w:rsid w:val="3A88558C"/>
    <w:rsid w:val="3ABD3FE4"/>
    <w:rsid w:val="3AD66EB0"/>
    <w:rsid w:val="3B4E45C6"/>
    <w:rsid w:val="3B5B7196"/>
    <w:rsid w:val="3B9A1264"/>
    <w:rsid w:val="3BB17663"/>
    <w:rsid w:val="3BBA51B1"/>
    <w:rsid w:val="3C2800B9"/>
    <w:rsid w:val="3C2F5621"/>
    <w:rsid w:val="3C347543"/>
    <w:rsid w:val="3CEC1573"/>
    <w:rsid w:val="3D682CB1"/>
    <w:rsid w:val="3D7D3E48"/>
    <w:rsid w:val="3DE218F9"/>
    <w:rsid w:val="3E173A67"/>
    <w:rsid w:val="3E2A5099"/>
    <w:rsid w:val="3F7F1D7B"/>
    <w:rsid w:val="3F8A6905"/>
    <w:rsid w:val="3FE536F1"/>
    <w:rsid w:val="40214F87"/>
    <w:rsid w:val="40BA3CF6"/>
    <w:rsid w:val="40CE4A65"/>
    <w:rsid w:val="40D35D84"/>
    <w:rsid w:val="40E53B71"/>
    <w:rsid w:val="4108712E"/>
    <w:rsid w:val="41131534"/>
    <w:rsid w:val="41166C56"/>
    <w:rsid w:val="412B59BE"/>
    <w:rsid w:val="41760C15"/>
    <w:rsid w:val="41765BE9"/>
    <w:rsid w:val="41C11F06"/>
    <w:rsid w:val="421A1F73"/>
    <w:rsid w:val="43040CA0"/>
    <w:rsid w:val="431E222E"/>
    <w:rsid w:val="43E77850"/>
    <w:rsid w:val="44831414"/>
    <w:rsid w:val="44BC677F"/>
    <w:rsid w:val="44E0528D"/>
    <w:rsid w:val="4513485D"/>
    <w:rsid w:val="452D64A5"/>
    <w:rsid w:val="45431E62"/>
    <w:rsid w:val="454A2974"/>
    <w:rsid w:val="456353A5"/>
    <w:rsid w:val="458956F6"/>
    <w:rsid w:val="458B6AE9"/>
    <w:rsid w:val="4639468D"/>
    <w:rsid w:val="464645A6"/>
    <w:rsid w:val="46A2612B"/>
    <w:rsid w:val="47A92AD9"/>
    <w:rsid w:val="47E24334"/>
    <w:rsid w:val="480907DA"/>
    <w:rsid w:val="4836578A"/>
    <w:rsid w:val="492741B5"/>
    <w:rsid w:val="4977642A"/>
    <w:rsid w:val="49DD310F"/>
    <w:rsid w:val="49FD1143"/>
    <w:rsid w:val="4ACB0DBA"/>
    <w:rsid w:val="4ADE0A79"/>
    <w:rsid w:val="4AEA73C7"/>
    <w:rsid w:val="4AEF4FF9"/>
    <w:rsid w:val="4B104386"/>
    <w:rsid w:val="4B182BCD"/>
    <w:rsid w:val="4B271495"/>
    <w:rsid w:val="4B2E25F0"/>
    <w:rsid w:val="4B3D3F04"/>
    <w:rsid w:val="4B5341A1"/>
    <w:rsid w:val="4B837218"/>
    <w:rsid w:val="4BF76C86"/>
    <w:rsid w:val="4C426FF4"/>
    <w:rsid w:val="4C686C29"/>
    <w:rsid w:val="4C89719B"/>
    <w:rsid w:val="4CC17D34"/>
    <w:rsid w:val="4D06670B"/>
    <w:rsid w:val="4D244A0A"/>
    <w:rsid w:val="4D6169CA"/>
    <w:rsid w:val="4DC349EC"/>
    <w:rsid w:val="4DF0398D"/>
    <w:rsid w:val="4E34306D"/>
    <w:rsid w:val="4E6F6FA8"/>
    <w:rsid w:val="4E8312E3"/>
    <w:rsid w:val="4EC73CC3"/>
    <w:rsid w:val="4EF34769"/>
    <w:rsid w:val="4F10017E"/>
    <w:rsid w:val="4F38754A"/>
    <w:rsid w:val="4F4021F5"/>
    <w:rsid w:val="4FCB16E8"/>
    <w:rsid w:val="4FD9679A"/>
    <w:rsid w:val="4FE97731"/>
    <w:rsid w:val="4FEB7203"/>
    <w:rsid w:val="50387B9B"/>
    <w:rsid w:val="50E41142"/>
    <w:rsid w:val="520D2CCB"/>
    <w:rsid w:val="522C01EC"/>
    <w:rsid w:val="524D7600"/>
    <w:rsid w:val="529842AD"/>
    <w:rsid w:val="52B24B7C"/>
    <w:rsid w:val="5301063F"/>
    <w:rsid w:val="53604AC7"/>
    <w:rsid w:val="53807561"/>
    <w:rsid w:val="53CC43C2"/>
    <w:rsid w:val="54916C80"/>
    <w:rsid w:val="549466D3"/>
    <w:rsid w:val="54F8488B"/>
    <w:rsid w:val="5540169E"/>
    <w:rsid w:val="558E0900"/>
    <w:rsid w:val="55D55483"/>
    <w:rsid w:val="55E30278"/>
    <w:rsid w:val="563913D0"/>
    <w:rsid w:val="577E7581"/>
    <w:rsid w:val="57BC25DA"/>
    <w:rsid w:val="57CF60C1"/>
    <w:rsid w:val="586C27AA"/>
    <w:rsid w:val="588F7E7B"/>
    <w:rsid w:val="58A76C4C"/>
    <w:rsid w:val="58B16DE5"/>
    <w:rsid w:val="58CB74D0"/>
    <w:rsid w:val="58E03358"/>
    <w:rsid w:val="5910162D"/>
    <w:rsid w:val="595446AB"/>
    <w:rsid w:val="598C3104"/>
    <w:rsid w:val="59C575D2"/>
    <w:rsid w:val="59D535CE"/>
    <w:rsid w:val="59DD749F"/>
    <w:rsid w:val="5B097FC8"/>
    <w:rsid w:val="5B894DF7"/>
    <w:rsid w:val="5C0B35A8"/>
    <w:rsid w:val="5C2B3F8B"/>
    <w:rsid w:val="5C593ADC"/>
    <w:rsid w:val="5C8E2CEF"/>
    <w:rsid w:val="5C9F4678"/>
    <w:rsid w:val="5D92680F"/>
    <w:rsid w:val="5DB12741"/>
    <w:rsid w:val="5DEE2CB2"/>
    <w:rsid w:val="5EB02CCE"/>
    <w:rsid w:val="5F2B6976"/>
    <w:rsid w:val="5F2E2B9C"/>
    <w:rsid w:val="5F4811B5"/>
    <w:rsid w:val="5F772160"/>
    <w:rsid w:val="5F9D1FE4"/>
    <w:rsid w:val="5FD05A6B"/>
    <w:rsid w:val="5FEB6E99"/>
    <w:rsid w:val="60275934"/>
    <w:rsid w:val="60594F55"/>
    <w:rsid w:val="60E3123E"/>
    <w:rsid w:val="61225B1E"/>
    <w:rsid w:val="61722BDF"/>
    <w:rsid w:val="618F6DDA"/>
    <w:rsid w:val="61AF27DD"/>
    <w:rsid w:val="61D67DBF"/>
    <w:rsid w:val="621A29E9"/>
    <w:rsid w:val="62294DF3"/>
    <w:rsid w:val="62463054"/>
    <w:rsid w:val="62493FAF"/>
    <w:rsid w:val="62A66EC4"/>
    <w:rsid w:val="62D84AB5"/>
    <w:rsid w:val="62DB7504"/>
    <w:rsid w:val="62F37D50"/>
    <w:rsid w:val="632366B5"/>
    <w:rsid w:val="63752548"/>
    <w:rsid w:val="63851881"/>
    <w:rsid w:val="64835103"/>
    <w:rsid w:val="64B35EE6"/>
    <w:rsid w:val="64DD4813"/>
    <w:rsid w:val="64E643A7"/>
    <w:rsid w:val="65BF03BD"/>
    <w:rsid w:val="669B2BD8"/>
    <w:rsid w:val="66A756E8"/>
    <w:rsid w:val="66F425DE"/>
    <w:rsid w:val="66F87545"/>
    <w:rsid w:val="67021AF2"/>
    <w:rsid w:val="671812FC"/>
    <w:rsid w:val="677156E7"/>
    <w:rsid w:val="67DE01E0"/>
    <w:rsid w:val="67FF7197"/>
    <w:rsid w:val="68270E62"/>
    <w:rsid w:val="686D6CFB"/>
    <w:rsid w:val="68BA29AE"/>
    <w:rsid w:val="68FB5803"/>
    <w:rsid w:val="69406CF0"/>
    <w:rsid w:val="69782FE8"/>
    <w:rsid w:val="69A02046"/>
    <w:rsid w:val="69CA3AD4"/>
    <w:rsid w:val="6A03161B"/>
    <w:rsid w:val="6A2513CF"/>
    <w:rsid w:val="6A306A15"/>
    <w:rsid w:val="6A7554EE"/>
    <w:rsid w:val="6B323E52"/>
    <w:rsid w:val="6B4649F7"/>
    <w:rsid w:val="6B9A16B0"/>
    <w:rsid w:val="6BAA763E"/>
    <w:rsid w:val="6BB9765C"/>
    <w:rsid w:val="6BC95AF1"/>
    <w:rsid w:val="6C2C381B"/>
    <w:rsid w:val="6C360CAD"/>
    <w:rsid w:val="6C740FEF"/>
    <w:rsid w:val="6CA513FC"/>
    <w:rsid w:val="6D003795"/>
    <w:rsid w:val="6D197AEA"/>
    <w:rsid w:val="6D1A3AF6"/>
    <w:rsid w:val="6D1F7993"/>
    <w:rsid w:val="6D45564C"/>
    <w:rsid w:val="6D6B4986"/>
    <w:rsid w:val="6DDF219F"/>
    <w:rsid w:val="6E566302"/>
    <w:rsid w:val="6ECD2B0B"/>
    <w:rsid w:val="6F082747"/>
    <w:rsid w:val="6F130D6B"/>
    <w:rsid w:val="6F196D90"/>
    <w:rsid w:val="6F5112A5"/>
    <w:rsid w:val="6F615109"/>
    <w:rsid w:val="6FE62098"/>
    <w:rsid w:val="703B6CD7"/>
    <w:rsid w:val="7045721B"/>
    <w:rsid w:val="704B3827"/>
    <w:rsid w:val="708F6BDE"/>
    <w:rsid w:val="709C53B3"/>
    <w:rsid w:val="70AA7B51"/>
    <w:rsid w:val="70E2675A"/>
    <w:rsid w:val="70F6785F"/>
    <w:rsid w:val="713B7C98"/>
    <w:rsid w:val="717C5161"/>
    <w:rsid w:val="71892882"/>
    <w:rsid w:val="71B11502"/>
    <w:rsid w:val="71EF3DD8"/>
    <w:rsid w:val="7210111B"/>
    <w:rsid w:val="726B5B54"/>
    <w:rsid w:val="7305498B"/>
    <w:rsid w:val="732B0E40"/>
    <w:rsid w:val="73301F45"/>
    <w:rsid w:val="738E0EA2"/>
    <w:rsid w:val="73C8531D"/>
    <w:rsid w:val="73CF14F3"/>
    <w:rsid w:val="73E20328"/>
    <w:rsid w:val="73E355A2"/>
    <w:rsid w:val="744E2473"/>
    <w:rsid w:val="745C669A"/>
    <w:rsid w:val="74A25132"/>
    <w:rsid w:val="74B86703"/>
    <w:rsid w:val="752E58F6"/>
    <w:rsid w:val="75362050"/>
    <w:rsid w:val="75CE0FC7"/>
    <w:rsid w:val="75F10EF1"/>
    <w:rsid w:val="76A32F1D"/>
    <w:rsid w:val="76C21ABB"/>
    <w:rsid w:val="76E14D6A"/>
    <w:rsid w:val="77161E07"/>
    <w:rsid w:val="77264593"/>
    <w:rsid w:val="772E36E0"/>
    <w:rsid w:val="775E009E"/>
    <w:rsid w:val="776C4A5A"/>
    <w:rsid w:val="7772120B"/>
    <w:rsid w:val="77B37656"/>
    <w:rsid w:val="77F55EC0"/>
    <w:rsid w:val="78054B14"/>
    <w:rsid w:val="781C437F"/>
    <w:rsid w:val="78324A1E"/>
    <w:rsid w:val="7872306D"/>
    <w:rsid w:val="78C77A2F"/>
    <w:rsid w:val="78D77109"/>
    <w:rsid w:val="78ED6BDA"/>
    <w:rsid w:val="798175E5"/>
    <w:rsid w:val="79AE10C2"/>
    <w:rsid w:val="79C33452"/>
    <w:rsid w:val="79C94AFA"/>
    <w:rsid w:val="7A37509B"/>
    <w:rsid w:val="7A942FB8"/>
    <w:rsid w:val="7AB44F05"/>
    <w:rsid w:val="7AD372AF"/>
    <w:rsid w:val="7AEF4E49"/>
    <w:rsid w:val="7B3E234B"/>
    <w:rsid w:val="7B3F75F9"/>
    <w:rsid w:val="7B6D4610"/>
    <w:rsid w:val="7BFF10BB"/>
    <w:rsid w:val="7C136498"/>
    <w:rsid w:val="7C25052B"/>
    <w:rsid w:val="7C3D3992"/>
    <w:rsid w:val="7D6820D3"/>
    <w:rsid w:val="7D7615E3"/>
    <w:rsid w:val="7DBE0502"/>
    <w:rsid w:val="7E3309DE"/>
    <w:rsid w:val="7E38302C"/>
    <w:rsid w:val="7E4B4A8C"/>
    <w:rsid w:val="7EAF49DC"/>
    <w:rsid w:val="7F0D0D4D"/>
    <w:rsid w:val="7F522D6C"/>
    <w:rsid w:val="7FC406C8"/>
    <w:rsid w:val="7FF7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qFormat/>
    <w:uiPriority w:val="0"/>
    <w:pPr>
      <w:keepNext w:val="0"/>
      <w:keepLines w:val="0"/>
      <w:widowControl w:val="0"/>
      <w:suppressLineNumbers w:val="0"/>
      <w:spacing w:before="0" w:beforeAutospacing="0" w:after="120" w:afterAutospacing="0"/>
      <w:ind w:left="0" w:right="0"/>
      <w:jc w:val="both"/>
    </w:pPr>
    <w:rPr>
      <w:rFonts w:ascii="Calibri" w:hAnsi="Calibri"/>
      <w:kern w:val="2"/>
      <w:sz w:val="21"/>
      <w:szCs w:val="24"/>
    </w:rPr>
  </w:style>
  <w:style w:type="paragraph" w:styleId="9">
    <w:name w:val="Body Text 2"/>
    <w:basedOn w:val="1"/>
    <w:qFormat/>
    <w:uiPriority w:val="99"/>
    <w:rPr>
      <w:rFonts w:ascii="楷体_GB2312" w:hAnsi="Copperplate Gothic Bold" w:eastAsia="楷体_GB2312"/>
      <w:sz w:val="28"/>
    </w:rPr>
  </w:style>
  <w:style w:type="paragraph" w:styleId="10">
    <w:name w:val="Body Text Indent"/>
    <w:basedOn w:val="1"/>
    <w:qFormat/>
    <w:uiPriority w:val="0"/>
    <w:pPr>
      <w:ind w:firstLine="200" w:firstLineChars="200"/>
    </w:pPr>
    <w:rPr>
      <w:sz w:val="28"/>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font51"/>
    <w:basedOn w:val="17"/>
    <w:qFormat/>
    <w:uiPriority w:val="0"/>
    <w:rPr>
      <w:rFonts w:hint="eastAsia" w:ascii="宋体" w:hAnsi="宋体" w:eastAsia="宋体" w:cs="宋体"/>
      <w:color w:val="000000"/>
      <w:sz w:val="18"/>
      <w:szCs w:val="18"/>
      <w:u w:val="none"/>
    </w:rPr>
  </w:style>
  <w:style w:type="character" w:customStyle="1" w:styleId="21">
    <w:name w:val="font81"/>
    <w:basedOn w:val="17"/>
    <w:qFormat/>
    <w:uiPriority w:val="0"/>
    <w:rPr>
      <w:rFonts w:hint="eastAsia" w:ascii="宋体" w:hAnsi="宋体" w:eastAsia="宋体" w:cs="宋体"/>
      <w:color w:val="0000FF"/>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8082</Words>
  <Characters>8664</Characters>
  <Lines>0</Lines>
  <Paragraphs>0</Paragraphs>
  <TotalTime>15</TotalTime>
  <ScaleCrop>false</ScaleCrop>
  <LinksUpToDate>false</LinksUpToDate>
  <CharactersWithSpaces>8884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2025-06-13T08:16:00Z</dcterms:created>
  <dc:creator>海纳百川</dc:creator>
  <cp:lastModifiedBy>＆一笑而过::&gt;_&lt;:</cp:lastModifiedBy>
  <dcterms:modified xsi:type="dcterms:W3CDTF">2025-12-19T06:29:57Z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F1E5BD459B824456BFDBD6CB1FAF7DE7_13</vt:lpwstr>
  </property>
  <property fmtid="{D5CDD505-2E9C-101B-9397-08002B2CF9AE}" pid="4" name="KSOTemplateDocerSaveRecord">
    <vt:lpwstr>eyJoZGlkIjoiNGYyZWE5OWUzMGI3ZWUyNjZhYTk0YzRkZDlmMmJlOGQiLCJ1c2VySWQiOiIxMTY2NzU5ODkyIn0=</vt:lpwstr>
  </property>
</Properties>
</file>