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E93B7">
      <w:pPr>
        <w:jc w:val="both"/>
        <w:rPr>
          <w:rFonts w:hint="default" w:ascii="黑体" w:hAnsi="Times New Roman" w:eastAsia="黑体" w:cs="黑体"/>
          <w:b/>
          <w:sz w:val="21"/>
          <w:szCs w:val="21"/>
          <w:lang w:val="en-US" w:eastAsia="zh-CN"/>
        </w:rPr>
      </w:pPr>
    </w:p>
    <w:p w14:paraId="2AD3AA0B">
      <w:pPr>
        <w:jc w:val="both"/>
        <w:rPr>
          <w:rFonts w:hint="default" w:ascii="黑体" w:hAnsi="Times New Roman" w:eastAsia="黑体" w:cs="黑体"/>
          <w:b/>
          <w:sz w:val="36"/>
          <w:szCs w:val="36"/>
          <w:lang w:val="en-US" w:eastAsia="zh-CN"/>
        </w:rPr>
      </w:pPr>
    </w:p>
    <w:p w14:paraId="65A0D11E">
      <w:pPr>
        <w:pStyle w:val="9"/>
        <w:rPr>
          <w:rFonts w:hint="eastAsia"/>
          <w:sz w:val="18"/>
          <w:szCs w:val="18"/>
          <w:lang w:val="en-US" w:eastAsia="zh-CN"/>
        </w:rPr>
      </w:pPr>
    </w:p>
    <w:p w14:paraId="7919744A">
      <w:pPr>
        <w:pStyle w:val="9"/>
        <w:rPr>
          <w:rFonts w:hint="eastAsia"/>
          <w:sz w:val="18"/>
          <w:szCs w:val="18"/>
          <w:lang w:val="en-US" w:eastAsia="zh-CN"/>
        </w:rPr>
      </w:pPr>
    </w:p>
    <w:p w14:paraId="7B251C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color w:val="auto"/>
          <w:spacing w:val="0"/>
          <w:sz w:val="52"/>
          <w:szCs w:val="52"/>
          <w:highlight w:val="none"/>
          <w:lang w:val="en-US" w:eastAsia="zh-CN"/>
        </w:rPr>
      </w:pPr>
      <w:r>
        <w:rPr>
          <w:rFonts w:hint="eastAsia" w:ascii="黑体" w:hAnsi="黑体" w:eastAsia="黑体" w:cs="黑体"/>
          <w:b w:val="0"/>
          <w:bCs/>
          <w:sz w:val="52"/>
          <w:szCs w:val="52"/>
          <w:lang w:val="en-US" w:eastAsia="zh-CN"/>
        </w:rPr>
        <w:t xml:space="preserve"> </w:t>
      </w:r>
      <w:r>
        <w:rPr>
          <w:rFonts w:hint="eastAsia" w:ascii="黑体" w:hAnsi="黑体" w:eastAsia="黑体" w:cs="黑体"/>
          <w:b/>
          <w:bCs w:val="0"/>
          <w:spacing w:val="-11"/>
          <w:sz w:val="52"/>
          <w:szCs w:val="52"/>
          <w:lang w:eastAsia="zh-CN"/>
        </w:rPr>
        <w:t>2024年</w:t>
      </w:r>
      <w:r>
        <w:rPr>
          <w:rFonts w:hint="eastAsia" w:ascii="黑体" w:hAnsi="黑体" w:eastAsia="黑体" w:cs="黑体"/>
          <w:b/>
          <w:color w:val="auto"/>
          <w:spacing w:val="-11"/>
          <w:sz w:val="52"/>
          <w:szCs w:val="52"/>
          <w:highlight w:val="none"/>
          <w:lang w:val="en-US" w:eastAsia="zh-CN"/>
        </w:rPr>
        <w:t>扶风县杏林镇污水处理厂运行</w:t>
      </w:r>
      <w:r>
        <w:rPr>
          <w:rFonts w:hint="eastAsia" w:ascii="黑体" w:hAnsi="黑体" w:eastAsia="黑体" w:cs="黑体"/>
          <w:b/>
          <w:color w:val="auto"/>
          <w:spacing w:val="0"/>
          <w:sz w:val="52"/>
          <w:szCs w:val="52"/>
          <w:highlight w:val="none"/>
          <w:lang w:val="en-US" w:eastAsia="zh-CN"/>
        </w:rPr>
        <w:t>补助资金项目绩效评价报告</w:t>
      </w:r>
    </w:p>
    <w:p w14:paraId="627DF680">
      <w:pPr>
        <w:pStyle w:val="8"/>
        <w:rPr>
          <w:rFonts w:hint="eastAsia"/>
        </w:rPr>
      </w:pPr>
    </w:p>
    <w:p w14:paraId="57A55975">
      <w:pPr>
        <w:tabs>
          <w:tab w:val="left" w:pos="6300"/>
          <w:tab w:val="left" w:pos="6480"/>
          <w:tab w:val="left" w:pos="6660"/>
          <w:tab w:val="left" w:pos="7050"/>
          <w:tab w:val="left" w:pos="7200"/>
          <w:tab w:val="left" w:pos="7350"/>
        </w:tabs>
        <w:ind w:right="600" w:firstLine="620" w:firstLineChars="200"/>
        <w:jc w:val="center"/>
        <w:outlineLvl w:val="0"/>
        <w:rPr>
          <w:rFonts w:hint="eastAsia" w:ascii="华文宋体" w:hAnsi="华文宋体"/>
          <w:color w:val="auto"/>
          <w:sz w:val="31"/>
          <w:highlight w:val="none"/>
          <w:shd w:val="clear" w:color="auto" w:fill="FFFFFF"/>
          <w:lang w:val="en-US" w:eastAsia="zh-CN"/>
        </w:rPr>
      </w:pPr>
      <w:r>
        <w:rPr>
          <w:rFonts w:hint="eastAsia" w:ascii="华文宋体" w:hAnsi="华文宋体"/>
          <w:color w:val="auto"/>
          <w:sz w:val="31"/>
          <w:highlight w:val="none"/>
          <w:shd w:val="clear" w:color="auto" w:fill="FFFFFF"/>
          <w:lang w:val="en-US" w:eastAsia="zh-CN"/>
        </w:rPr>
        <w:t xml:space="preserve"> </w:t>
      </w:r>
    </w:p>
    <w:p w14:paraId="23F621FF">
      <w:pPr>
        <w:pStyle w:val="8"/>
        <w:rPr>
          <w:rFonts w:hint="default"/>
          <w:color w:val="auto"/>
          <w:highlight w:val="none"/>
          <w:lang w:val="en-US" w:eastAsia="zh-CN"/>
        </w:rPr>
      </w:pPr>
    </w:p>
    <w:p w14:paraId="10C771CB">
      <w:pPr>
        <w:tabs>
          <w:tab w:val="left" w:pos="6300"/>
          <w:tab w:val="left" w:pos="6480"/>
          <w:tab w:val="left" w:pos="6660"/>
          <w:tab w:val="left" w:pos="7050"/>
          <w:tab w:val="left" w:pos="7200"/>
          <w:tab w:val="left" w:pos="7350"/>
        </w:tabs>
        <w:ind w:right="600" w:firstLine="620" w:firstLineChars="200"/>
        <w:jc w:val="center"/>
        <w:outlineLvl w:val="0"/>
        <w:rPr>
          <w:rFonts w:hint="eastAsia" w:ascii="华文宋体" w:hAnsi="华文宋体"/>
          <w:color w:val="auto"/>
          <w:sz w:val="31"/>
          <w:highlight w:val="none"/>
          <w:shd w:val="clear" w:color="auto" w:fill="FFFFFF"/>
        </w:rPr>
      </w:pPr>
    </w:p>
    <w:p w14:paraId="7625720B">
      <w:pPr>
        <w:tabs>
          <w:tab w:val="left" w:pos="6300"/>
          <w:tab w:val="left" w:pos="6480"/>
          <w:tab w:val="left" w:pos="6660"/>
          <w:tab w:val="left" w:pos="7050"/>
          <w:tab w:val="left" w:pos="7200"/>
          <w:tab w:val="left" w:pos="7350"/>
        </w:tabs>
        <w:ind w:right="600" w:firstLine="620" w:firstLineChars="200"/>
        <w:jc w:val="center"/>
        <w:outlineLvl w:val="0"/>
        <w:rPr>
          <w:rFonts w:hint="eastAsia" w:ascii="华文宋体" w:hAnsi="华文宋体"/>
          <w:color w:val="auto"/>
          <w:sz w:val="31"/>
          <w:highlight w:val="none"/>
          <w:shd w:val="clear" w:color="auto" w:fill="FFFFFF"/>
        </w:rPr>
      </w:pPr>
    </w:p>
    <w:p w14:paraId="21052FC7">
      <w:pPr>
        <w:spacing w:line="360" w:lineRule="auto"/>
        <w:ind w:firstLine="1285" w:firstLineChars="400"/>
        <w:rPr>
          <w:rFonts w:hint="eastAsia" w:ascii="宋体" w:hAnsi="宋体" w:cs="宋体"/>
          <w:b/>
          <w:bCs/>
          <w:color w:val="auto"/>
          <w:sz w:val="32"/>
          <w:szCs w:val="32"/>
          <w:highlight w:val="none"/>
        </w:rPr>
      </w:pPr>
    </w:p>
    <w:p w14:paraId="4A21AC45">
      <w:pPr>
        <w:pStyle w:val="8"/>
        <w:rPr>
          <w:rFonts w:hint="eastAsia" w:ascii="宋体" w:hAnsi="宋体" w:cs="宋体"/>
          <w:b/>
          <w:bCs/>
          <w:color w:val="auto"/>
          <w:sz w:val="32"/>
          <w:szCs w:val="32"/>
          <w:highlight w:val="none"/>
        </w:rPr>
      </w:pPr>
    </w:p>
    <w:p w14:paraId="3685BC4E">
      <w:pPr>
        <w:pStyle w:val="9"/>
        <w:rPr>
          <w:rFonts w:hint="eastAsia" w:ascii="宋体" w:hAnsi="宋体" w:cs="宋体"/>
          <w:b/>
          <w:bCs/>
          <w:color w:val="auto"/>
          <w:sz w:val="32"/>
          <w:szCs w:val="32"/>
          <w:highlight w:val="none"/>
        </w:rPr>
      </w:pPr>
    </w:p>
    <w:p w14:paraId="72966BD6">
      <w:pPr>
        <w:pStyle w:val="9"/>
        <w:rPr>
          <w:rFonts w:hint="eastAsia" w:ascii="宋体" w:hAnsi="宋体" w:cs="宋体"/>
          <w:b/>
          <w:bCs/>
          <w:color w:val="auto"/>
          <w:sz w:val="32"/>
          <w:szCs w:val="32"/>
          <w:highlight w:val="none"/>
        </w:rPr>
      </w:pPr>
    </w:p>
    <w:p w14:paraId="2EA97D53">
      <w:pPr>
        <w:pStyle w:val="9"/>
        <w:rPr>
          <w:rFonts w:hint="eastAsia" w:ascii="宋体" w:hAnsi="宋体" w:cs="宋体"/>
          <w:b/>
          <w:bCs/>
          <w:color w:val="auto"/>
          <w:sz w:val="32"/>
          <w:szCs w:val="32"/>
          <w:highlight w:val="none"/>
        </w:rPr>
      </w:pPr>
    </w:p>
    <w:p w14:paraId="233EE421">
      <w:pPr>
        <w:spacing w:line="360" w:lineRule="auto"/>
        <w:ind w:firstLine="1285" w:firstLineChars="400"/>
        <w:rPr>
          <w:rFonts w:hint="eastAsia" w:ascii="宋体" w:hAnsi="宋体" w:cs="宋体"/>
          <w:b/>
          <w:bCs/>
          <w:color w:val="auto"/>
          <w:sz w:val="32"/>
          <w:szCs w:val="32"/>
          <w:highlight w:val="none"/>
        </w:rPr>
      </w:pPr>
    </w:p>
    <w:p w14:paraId="1F6C9E5A">
      <w:pPr>
        <w:spacing w:line="360" w:lineRule="auto"/>
        <w:jc w:val="center"/>
        <w:rPr>
          <w:rFonts w:hint="eastAsia" w:ascii="宋体" w:hAnsi="宋体" w:eastAsia="宋体" w:cs="宋体"/>
          <w:b/>
          <w:bCs/>
          <w:sz w:val="32"/>
          <w:szCs w:val="32"/>
          <w:highlight w:val="none"/>
          <w:lang w:val="en-US" w:eastAsia="zh-CN"/>
        </w:rPr>
      </w:pPr>
    </w:p>
    <w:p w14:paraId="6D748809">
      <w:pPr>
        <w:spacing w:line="360" w:lineRule="auto"/>
        <w:jc w:val="center"/>
        <w:rPr>
          <w:rFonts w:hint="eastAsia" w:ascii="宋体" w:hAnsi="宋体" w:eastAsia="宋体" w:cs="宋体"/>
          <w:b/>
          <w:bCs/>
          <w:sz w:val="32"/>
          <w:szCs w:val="32"/>
          <w:highlight w:val="none"/>
          <w:lang w:val="en-US" w:eastAsia="zh-CN"/>
        </w:rPr>
      </w:pPr>
    </w:p>
    <w:p w14:paraId="04DE4733">
      <w:pPr>
        <w:spacing w:line="360" w:lineRule="auto"/>
        <w:jc w:val="center"/>
        <w:rPr>
          <w:rFonts w:hint="eastAsia" w:ascii="宋体" w:hAnsi="宋体" w:eastAsia="宋体" w:cs="宋体"/>
          <w:b/>
          <w:bCs/>
          <w:sz w:val="32"/>
          <w:szCs w:val="32"/>
          <w:highlight w:val="none"/>
          <w:lang w:val="en-US" w:eastAsia="zh-CN"/>
        </w:rPr>
      </w:pPr>
      <w:r>
        <w:rPr>
          <w:rFonts w:hint="eastAsia" w:ascii="宋体" w:hAnsi="宋体" w:cs="宋体"/>
          <w:b/>
          <w:bCs/>
          <w:sz w:val="32"/>
          <w:szCs w:val="32"/>
          <w:highlight w:val="none"/>
          <w:lang w:val="en-US" w:eastAsia="zh-CN"/>
        </w:rPr>
        <w:t>扶风县财政局</w:t>
      </w:r>
    </w:p>
    <w:p w14:paraId="7BE6A76F">
      <w:pPr>
        <w:spacing w:line="360" w:lineRule="auto"/>
        <w:jc w:val="center"/>
        <w:rPr>
          <w:rFonts w:hint="default" w:ascii="宋体" w:hAnsi="宋体" w:eastAsia="宋体" w:cs="宋体"/>
          <w:b/>
          <w:color w:val="auto"/>
          <w:sz w:val="32"/>
          <w:szCs w:val="32"/>
          <w:highlight w:val="none"/>
          <w:lang w:val="en-US"/>
        </w:rPr>
        <w:sectPr>
          <w:headerReference r:id="rId4" w:type="first"/>
          <w:headerReference r:id="rId3" w:type="default"/>
          <w:pgSz w:w="11906" w:h="16838"/>
          <w:pgMar w:top="1417" w:right="1531" w:bottom="1417" w:left="1701" w:header="851" w:footer="992"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eastAsia" w:ascii="宋体" w:hAnsi="宋体" w:eastAsia="宋体" w:cs="宋体"/>
          <w:b/>
          <w:bCs/>
          <w:sz w:val="32"/>
          <w:szCs w:val="32"/>
          <w:highlight w:val="none"/>
          <w:lang w:val="en-US" w:eastAsia="zh-CN"/>
        </w:rPr>
        <w:t>202</w:t>
      </w:r>
      <w:r>
        <w:rPr>
          <w:rFonts w:hint="eastAsia" w:ascii="宋体" w:hAnsi="宋体" w:cs="宋体"/>
          <w:b/>
          <w:bCs/>
          <w:sz w:val="32"/>
          <w:szCs w:val="32"/>
          <w:highlight w:val="none"/>
          <w:lang w:val="en-US" w:eastAsia="zh-CN"/>
        </w:rPr>
        <w:t>5</w:t>
      </w:r>
      <w:r>
        <w:rPr>
          <w:rFonts w:hint="eastAsia" w:ascii="宋体" w:hAnsi="宋体" w:eastAsia="宋体" w:cs="宋体"/>
          <w:b/>
          <w:bCs/>
          <w:sz w:val="32"/>
          <w:szCs w:val="32"/>
          <w:highlight w:val="none"/>
          <w:lang w:val="en-US" w:eastAsia="zh-CN"/>
        </w:rPr>
        <w:t>年</w:t>
      </w:r>
      <w:r>
        <w:rPr>
          <w:rFonts w:hint="eastAsia" w:ascii="宋体" w:hAnsi="宋体" w:cs="宋体"/>
          <w:b/>
          <w:bCs/>
          <w:sz w:val="32"/>
          <w:szCs w:val="32"/>
          <w:highlight w:val="none"/>
          <w:lang w:val="en-US" w:eastAsia="zh-CN"/>
        </w:rPr>
        <w:t>8</w:t>
      </w:r>
      <w:r>
        <w:rPr>
          <w:rFonts w:hint="eastAsia" w:ascii="宋体" w:hAnsi="宋体" w:eastAsia="宋体" w:cs="宋体"/>
          <w:b/>
          <w:bCs/>
          <w:sz w:val="32"/>
          <w:szCs w:val="32"/>
          <w:highlight w:val="none"/>
          <w:lang w:val="en-US" w:eastAsia="zh-CN"/>
        </w:rPr>
        <w:t>月</w:t>
      </w:r>
      <w:r>
        <w:rPr>
          <w:rFonts w:hint="eastAsia" w:ascii="宋体" w:hAnsi="宋体" w:cs="宋体"/>
          <w:b/>
          <w:bCs/>
          <w:sz w:val="32"/>
          <w:szCs w:val="32"/>
          <w:highlight w:val="none"/>
          <w:lang w:val="en-US" w:eastAsia="zh-CN"/>
        </w:rPr>
        <w:t>15</w:t>
      </w:r>
      <w:r>
        <w:rPr>
          <w:rFonts w:hint="eastAsia" w:ascii="宋体" w:hAnsi="宋体" w:eastAsia="宋体" w:cs="宋体"/>
          <w:b/>
          <w:bCs/>
          <w:sz w:val="32"/>
          <w:szCs w:val="32"/>
          <w:highlight w:val="none"/>
          <w:lang w:val="en-US" w:eastAsia="zh-CN"/>
        </w:rPr>
        <w:t>日</w:t>
      </w:r>
    </w:p>
    <w:p w14:paraId="486C76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color w:val="auto"/>
          <w:sz w:val="44"/>
          <w:szCs w:val="44"/>
          <w:highlight w:val="none"/>
          <w:lang w:val="en-US" w:eastAsia="zh-CN"/>
        </w:rPr>
        <w:t xml:space="preserve"> 2024年扶风县杏林镇污水处理厂运行补助资金项目绩效评价报告</w:t>
      </w:r>
    </w:p>
    <w:p w14:paraId="7951EE5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auto"/>
          <w:sz w:val="32"/>
          <w:szCs w:val="32"/>
          <w:highlight w:val="none"/>
          <w:lang w:val="en-US" w:eastAsia="zh-CN"/>
        </w:rPr>
      </w:pPr>
    </w:p>
    <w:p w14:paraId="078D700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扶风县杏林镇人民政府</w:t>
      </w:r>
      <w:r>
        <w:rPr>
          <w:rFonts w:hint="eastAsia" w:ascii="仿宋_GB2312" w:hAnsi="仿宋_GB2312" w:eastAsia="仿宋_GB2312" w:cs="仿宋_GB2312"/>
          <w:color w:val="auto"/>
          <w:sz w:val="32"/>
          <w:szCs w:val="32"/>
          <w:highlight w:val="none"/>
        </w:rPr>
        <w:t>：</w:t>
      </w:r>
    </w:p>
    <w:p w14:paraId="4453836D">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both"/>
        <w:textAlignment w:val="auto"/>
        <w:rPr>
          <w:rFonts w:hint="eastAsia" w:ascii="宋体"/>
          <w:b/>
          <w:color w:val="0000FF"/>
          <w:sz w:val="44"/>
          <w:szCs w:val="44"/>
          <w:highlight w:val="none"/>
        </w:rPr>
      </w:pPr>
      <w:r>
        <w:rPr>
          <w:rFonts w:hint="eastAsia" w:ascii="仿宋_GB2312" w:hAnsi="仿宋_GB2312" w:eastAsia="仿宋_GB2312" w:cs="仿宋_GB2312"/>
          <w:bCs/>
          <w:color w:val="auto"/>
          <w:sz w:val="32"/>
          <w:szCs w:val="32"/>
          <w:highlight w:val="none"/>
          <w:lang w:val="en-US" w:eastAsia="zh-CN"/>
        </w:rPr>
        <w:t>为深入贯彻落实党中央和省、市全面实施预算绩效管理的部署要求，加强财政支出管理，提高财政资金使用效益，根据财政部《关于印发〈项目支出绩效评价管理办法〉的通知》（财预〔2020〕10号）</w:t>
      </w:r>
      <w:r>
        <w:rPr>
          <w:rFonts w:hint="eastAsia" w:ascii="仿宋_GB2312" w:hAnsi="仿宋_GB2312" w:eastAsia="仿宋_GB2312" w:cs="仿宋_GB2312"/>
          <w:color w:val="auto"/>
          <w:kern w:val="2"/>
          <w:sz w:val="32"/>
          <w:szCs w:val="32"/>
          <w:highlight w:val="none"/>
          <w:lang w:val="en-US" w:eastAsia="zh-CN" w:bidi="ar-SA"/>
        </w:rPr>
        <w:t>、宝鸡市财政局《宝鸡市加快实现预算绩效管理改革目标行动方案》（宝市财办检〔2021〕16号）、</w:t>
      </w:r>
      <w:r>
        <w:rPr>
          <w:rFonts w:hint="eastAsia" w:ascii="仿宋_GB2312" w:hAnsi="仿宋_GB2312" w:eastAsia="仿宋_GB2312" w:cs="仿宋_GB2312"/>
          <w:bCs/>
          <w:color w:val="auto"/>
          <w:sz w:val="32"/>
          <w:szCs w:val="32"/>
          <w:highlight w:val="none"/>
          <w:lang w:val="en-US" w:eastAsia="zh-CN"/>
        </w:rPr>
        <w:t>《扶风县财政局关于开展2024年度事后财政重点项目及部门整体支出绩效评价工作的通知》（扶财办绩〔2025〕5号）</w:t>
      </w:r>
      <w:r>
        <w:rPr>
          <w:rFonts w:hint="eastAsia" w:ascii="仿宋_GB2312" w:hAnsi="仿宋_GB2312" w:eastAsia="仿宋_GB2312" w:cs="仿宋_GB2312"/>
          <w:color w:val="auto"/>
          <w:kern w:val="2"/>
          <w:sz w:val="32"/>
          <w:szCs w:val="32"/>
          <w:highlight w:val="none"/>
          <w:lang w:val="en-US" w:eastAsia="zh-CN" w:bidi="ar-SA"/>
        </w:rPr>
        <w:t>等相关文件要求，我局立即成立绩效评价工作小组深入项目单位及实施现场，通过座谈交流、查阅资料、现场查看、问卷调查、查询账务系统、对比分析、综合研判等方式，在项目单位自评的基础上，遵循</w:t>
      </w:r>
      <w:r>
        <w:rPr>
          <w:rFonts w:hint="default" w:ascii="仿宋_GB2312" w:hAnsi="仿宋_GB2312" w:eastAsia="仿宋_GB2312" w:cs="仿宋_GB2312"/>
          <w:color w:val="auto"/>
          <w:kern w:val="2"/>
          <w:sz w:val="32"/>
          <w:szCs w:val="32"/>
          <w:highlight w:val="none"/>
          <w:lang w:val="en-US" w:eastAsia="zh-CN" w:bidi="ar-SA"/>
        </w:rPr>
        <w:t>科学、规范、客观、公正的原则</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lang w:val="en-US" w:eastAsia="zh-CN"/>
        </w:rPr>
        <w:t>对2024年扶风县杏林镇污水处理厂运行补助资金项目</w:t>
      </w:r>
      <w:r>
        <w:rPr>
          <w:rFonts w:hint="eastAsia" w:ascii="仿宋_GB2312" w:hAnsi="仿宋_GB2312" w:eastAsia="仿宋_GB2312" w:cs="仿宋_GB2312"/>
          <w:b w:val="0"/>
          <w:bCs w:val="0"/>
          <w:color w:val="auto"/>
          <w:sz w:val="32"/>
          <w:szCs w:val="32"/>
          <w:highlight w:val="none"/>
        </w:rPr>
        <w:t>开展</w:t>
      </w:r>
      <w:r>
        <w:rPr>
          <w:rFonts w:hint="eastAsia" w:ascii="仿宋_GB2312" w:hAnsi="仿宋_GB2312" w:eastAsia="仿宋_GB2312" w:cs="仿宋_GB2312"/>
          <w:color w:val="auto"/>
          <w:sz w:val="32"/>
          <w:szCs w:val="32"/>
          <w:highlight w:val="none"/>
        </w:rPr>
        <w:t>了绩效评价。现将评价情况报告如下：</w:t>
      </w:r>
    </w:p>
    <w:p w14:paraId="61457942">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黑体" w:hAnsi="黑体" w:eastAsia="黑体" w:cs="黑体"/>
          <w:b w:val="0"/>
          <w:bCs w:val="0"/>
          <w:color w:val="auto"/>
          <w:sz w:val="32"/>
          <w:szCs w:val="32"/>
          <w:highlight w:val="none"/>
          <w:lang w:val="en-US" w:eastAsia="zh-CN"/>
        </w:rPr>
      </w:pPr>
      <w:bookmarkStart w:id="0" w:name="_Toc206309462"/>
      <w:r>
        <w:rPr>
          <w:rFonts w:hint="eastAsia" w:ascii="黑体" w:hAnsi="黑体" w:eastAsia="黑体" w:cs="黑体"/>
          <w:b w:val="0"/>
          <w:bCs w:val="0"/>
          <w:color w:val="auto"/>
          <w:sz w:val="32"/>
          <w:szCs w:val="32"/>
          <w:highlight w:val="none"/>
          <w:lang w:val="en-US" w:eastAsia="zh-CN"/>
        </w:rPr>
        <w:t>一、项目概况</w:t>
      </w:r>
    </w:p>
    <w:p w14:paraId="6A8B9CE5">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color w:val="auto"/>
          <w:sz w:val="32"/>
          <w:szCs w:val="32"/>
          <w:highlight w:val="none"/>
          <w:lang w:val="en-US" w:eastAsia="zh-CN"/>
        </w:rPr>
        <w:t>（一）项目背景</w:t>
      </w:r>
    </w:p>
    <w:p w14:paraId="0A65F14A">
      <w:pPr>
        <w:keepNext w:val="0"/>
        <w:keepLines w:val="0"/>
        <w:pageBreakBefore w:val="0"/>
        <w:widowControl/>
        <w:kinsoku/>
        <w:wordWrap/>
        <w:overflowPunct/>
        <w:topLinePunct w:val="0"/>
        <w:autoSpaceDE/>
        <w:autoSpaceDN/>
        <w:bidi w:val="0"/>
        <w:adjustRightInd/>
        <w:spacing w:line="560" w:lineRule="exact"/>
        <w:ind w:firstLine="646" w:firstLineChars="200"/>
        <w:jc w:val="left"/>
        <w:textAlignment w:val="auto"/>
        <w:rPr>
          <w:rFonts w:ascii="仿宋_GB2312" w:hAnsi="仿宋_GB2312" w:eastAsia="仿宋_GB2312" w:cs="仿宋_GB2312"/>
          <w:color w:val="auto"/>
          <w:kern w:val="2"/>
          <w:sz w:val="32"/>
          <w:szCs w:val="32"/>
          <w:lang w:bidi="ar-SA"/>
        </w:rPr>
      </w:pPr>
      <w:r>
        <w:rPr>
          <w:rFonts w:ascii="仿宋_GB2312" w:hAnsi="仿宋_GB2312" w:eastAsia="仿宋_GB2312" w:cs="仿宋_GB2312"/>
          <w:color w:val="auto"/>
          <w:kern w:val="2"/>
          <w:sz w:val="32"/>
          <w:szCs w:val="32"/>
          <w:lang w:bidi="ar-SA"/>
        </w:rPr>
        <w:t>杏林镇作为扶风县东部的重要乡镇，紧邻法门寺文化旅游景区，占地面积约45平方公里，常住人口达2.3万人，下辖8个行政村。该镇以农业种植（小麦、猕猴桃）以及小型加工产业（食品、建材）为主要经济支柱。近年来，随着乡村振兴战略的推进，镇区人口加速集聚，加之旅游配套设施（如民宿、餐饮）逐渐增多，日均生活污水排放量从2018年的800吨激增至2022年的1200吨。原有的分散式污水处理设施（如小型化粪池）已无法满足污染治理需求，亟需建设专业化污水处理厂以实现集中处理。</w:t>
      </w:r>
    </w:p>
    <w:p w14:paraId="788FF272">
      <w:pPr>
        <w:keepNext w:val="0"/>
        <w:keepLines w:val="0"/>
        <w:pageBreakBefore w:val="0"/>
        <w:widowControl/>
        <w:kinsoku/>
        <w:wordWrap/>
        <w:overflowPunct/>
        <w:topLinePunct w:val="0"/>
        <w:autoSpaceDE/>
        <w:autoSpaceDN/>
        <w:bidi w:val="0"/>
        <w:adjustRightInd/>
        <w:spacing w:line="560" w:lineRule="exact"/>
        <w:ind w:firstLine="646"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ascii="仿宋_GB2312" w:hAnsi="仿宋_GB2312" w:eastAsia="仿宋_GB2312" w:cs="仿宋_GB2312"/>
          <w:color w:val="auto"/>
          <w:kern w:val="2"/>
          <w:sz w:val="32"/>
          <w:szCs w:val="32"/>
          <w:lang w:bidi="ar-SA"/>
        </w:rPr>
        <w:t>杏林镇污水处理厂项目总投资约700</w:t>
      </w:r>
      <w:r>
        <w:rPr>
          <w:rFonts w:hint="eastAsia" w:ascii="仿宋_GB2312" w:hAnsi="仿宋_GB2312" w:eastAsia="仿宋_GB2312" w:cs="仿宋_GB2312"/>
          <w:color w:val="auto"/>
          <w:kern w:val="2"/>
          <w:sz w:val="32"/>
          <w:szCs w:val="32"/>
          <w:lang w:val="en-US" w:eastAsia="zh-CN" w:bidi="ar-SA"/>
        </w:rPr>
        <w:t>.00</w:t>
      </w:r>
      <w:r>
        <w:rPr>
          <w:rFonts w:ascii="仿宋_GB2312" w:hAnsi="仿宋_GB2312" w:eastAsia="仿宋_GB2312" w:cs="仿宋_GB2312"/>
          <w:color w:val="auto"/>
          <w:kern w:val="2"/>
          <w:sz w:val="32"/>
          <w:szCs w:val="32"/>
          <w:lang w:bidi="ar-SA"/>
        </w:rPr>
        <w:t>万元，由扶风县环保局负责</w:t>
      </w:r>
      <w:r>
        <w:rPr>
          <w:rFonts w:hint="eastAsia" w:ascii="仿宋_GB2312" w:hAnsi="仿宋_GB2312" w:eastAsia="仿宋_GB2312" w:cs="仿宋_GB2312"/>
          <w:color w:val="auto"/>
          <w:kern w:val="2"/>
          <w:sz w:val="32"/>
          <w:szCs w:val="32"/>
          <w:lang w:val="en-US" w:eastAsia="zh-CN" w:bidi="ar-SA"/>
        </w:rPr>
        <w:t>建设</w:t>
      </w:r>
      <w:r>
        <w:rPr>
          <w:rFonts w:ascii="仿宋_GB2312" w:hAnsi="仿宋_GB2312" w:eastAsia="仿宋_GB2312" w:cs="仿宋_GB2312"/>
          <w:color w:val="auto"/>
          <w:kern w:val="2"/>
          <w:sz w:val="32"/>
          <w:szCs w:val="32"/>
          <w:lang w:bidi="ar-SA"/>
        </w:rPr>
        <w:t>。项目位于杏林镇杏林村，总占地面积1363平方米，设计日污水处理规模为500立方米，主要处理杏林镇的生活污水，服务范围覆盖镇区6公里，惠及约1.1万名群众。该项目于2021年12月正式开工，并于2022年10月底完成建设。污水处理工艺采用“调节池+旋流除砂器+砂水分离器+A/A/O+平流式二沉池+混凝沉淀池+滤布滤池+消毒池”的流程；排放标准执行《陕西省黄河流域污水综合排放标准》（DB61/224-2018）中的A标准；污泥处置采用叠螺脱水后外运填埋或焚烧的方式；臭气处理则采用离子除臭技术。污水处理厂建成后，将委托第三方公司——西安弘德途环保科技有限公司进行专业化管理运营。</w:t>
      </w:r>
    </w:p>
    <w:p w14:paraId="27C0C812">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2024年3月5日，扶风县财政局</w:t>
      </w:r>
      <w:r>
        <w:rPr>
          <w:rFonts w:ascii="仿宋_GB2312" w:hAnsi="仿宋_GB2312" w:eastAsia="仿宋_GB2312" w:cs="仿宋_GB2312"/>
          <w:color w:val="auto"/>
          <w:kern w:val="2"/>
          <w:sz w:val="32"/>
          <w:szCs w:val="32"/>
          <w:lang w:bidi="ar-SA"/>
        </w:rPr>
        <w:t>依据</w:t>
      </w:r>
      <w:r>
        <w:rPr>
          <w:rFonts w:hint="eastAsia" w:ascii="仿宋_GB2312" w:hAnsi="仿宋_GB2312" w:eastAsia="仿宋_GB2312" w:cs="仿宋_GB2312"/>
          <w:color w:val="auto"/>
          <w:kern w:val="2"/>
          <w:sz w:val="32"/>
          <w:szCs w:val="32"/>
          <w:lang w:val="en-US" w:eastAsia="zh-CN" w:bidi="ar-SA"/>
        </w:rPr>
        <w:t>扶财办预</w:t>
      </w:r>
      <w:r>
        <w:rPr>
          <w:rFonts w:hint="eastAsia" w:ascii="仿宋_GB2312" w:hAnsi="仿宋_GB2312" w:eastAsia="仿宋_GB2312" w:cs="仿宋_GB2312"/>
          <w:bCs/>
          <w:color w:val="auto"/>
          <w:sz w:val="32"/>
          <w:szCs w:val="32"/>
          <w:highlight w:val="none"/>
          <w:lang w:val="en-US" w:eastAsia="zh-CN"/>
        </w:rPr>
        <w:t>〔2024〕</w:t>
      </w:r>
      <w:r>
        <w:rPr>
          <w:rFonts w:hint="eastAsia" w:ascii="仿宋_GB2312" w:hAnsi="仿宋_GB2312" w:eastAsia="仿宋_GB2312" w:cs="仿宋_GB2312"/>
          <w:color w:val="auto"/>
          <w:kern w:val="2"/>
          <w:sz w:val="32"/>
          <w:szCs w:val="32"/>
          <w:lang w:val="en-US" w:eastAsia="zh-CN" w:bidi="ar-SA"/>
        </w:rPr>
        <w:t>1号文件，向</w:t>
      </w:r>
      <w:r>
        <w:rPr>
          <w:rFonts w:hint="eastAsia" w:ascii="仿宋_GB2312" w:hAnsi="仿宋_GB2312" w:eastAsia="仿宋_GB2312" w:cs="仿宋_GB2312"/>
          <w:color w:val="auto"/>
          <w:kern w:val="2"/>
          <w:sz w:val="32"/>
          <w:szCs w:val="32"/>
          <w:highlight w:val="none"/>
          <w:lang w:val="en-US" w:eastAsia="zh-CN" w:bidi="ar-SA"/>
        </w:rPr>
        <w:t>杏林镇人民政府</w:t>
      </w:r>
      <w:r>
        <w:rPr>
          <w:rFonts w:ascii="仿宋_GB2312" w:hAnsi="仿宋_GB2312" w:eastAsia="仿宋_GB2312" w:cs="仿宋_GB2312"/>
          <w:b w:val="0"/>
          <w:bCs w:val="0"/>
          <w:color w:val="auto"/>
          <w:kern w:val="2"/>
          <w:sz w:val="32"/>
          <w:szCs w:val="32"/>
          <w:lang w:bidi="ar-SA"/>
        </w:rPr>
        <w:t>下达了</w:t>
      </w:r>
      <w:r>
        <w:rPr>
          <w:rFonts w:hint="eastAsia" w:ascii="仿宋_GB2312" w:hAnsi="仿宋_GB2312" w:eastAsia="仿宋_GB2312" w:cs="仿宋_GB2312"/>
          <w:b w:val="0"/>
          <w:bCs w:val="0"/>
          <w:color w:val="auto"/>
          <w:kern w:val="2"/>
          <w:sz w:val="32"/>
          <w:szCs w:val="32"/>
          <w:lang w:val="en-US" w:eastAsia="zh-CN" w:bidi="ar-SA"/>
        </w:rPr>
        <w:t>污水处理厂运行补助</w:t>
      </w:r>
      <w:r>
        <w:rPr>
          <w:rFonts w:ascii="仿宋_GB2312" w:hAnsi="仿宋_GB2312" w:eastAsia="仿宋_GB2312" w:cs="仿宋_GB2312"/>
          <w:b w:val="0"/>
          <w:bCs w:val="0"/>
          <w:color w:val="auto"/>
          <w:kern w:val="2"/>
          <w:sz w:val="32"/>
          <w:szCs w:val="32"/>
          <w:lang w:bidi="ar-SA"/>
        </w:rPr>
        <w:t>资金</w:t>
      </w:r>
      <w:r>
        <w:rPr>
          <w:rFonts w:hint="eastAsia" w:ascii="仿宋_GB2312" w:hAnsi="仿宋_GB2312" w:eastAsia="仿宋_GB2312" w:cs="仿宋_GB2312"/>
          <w:b w:val="0"/>
          <w:bCs w:val="0"/>
          <w:color w:val="auto"/>
          <w:kern w:val="2"/>
          <w:sz w:val="32"/>
          <w:szCs w:val="32"/>
          <w:lang w:val="en-US" w:eastAsia="zh-CN" w:bidi="ar-SA"/>
        </w:rPr>
        <w:t>30.00</w:t>
      </w:r>
      <w:r>
        <w:rPr>
          <w:rFonts w:ascii="仿宋_GB2312" w:hAnsi="仿宋_GB2312" w:eastAsia="仿宋_GB2312" w:cs="仿宋_GB2312"/>
          <w:b w:val="0"/>
          <w:bCs w:val="0"/>
          <w:color w:val="auto"/>
          <w:kern w:val="2"/>
          <w:sz w:val="32"/>
          <w:szCs w:val="32"/>
          <w:lang w:bidi="ar-SA"/>
        </w:rPr>
        <w:t>万元。</w:t>
      </w:r>
    </w:p>
    <w:p w14:paraId="59191D12">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（二）项目基本情况</w:t>
      </w:r>
    </w:p>
    <w:p w14:paraId="1F87539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585" w:leftChars="304" w:right="0" w:hanging="1938" w:hangingChars="600"/>
        <w:jc w:val="both"/>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项目名称：</w:t>
      </w:r>
      <w:r>
        <w:rPr>
          <w:rFonts w:hint="eastAsia" w:ascii="仿宋_GB2312" w:hAnsi="仿宋_GB2312" w:eastAsia="仿宋_GB2312" w:cs="仿宋_GB2312"/>
          <w:color w:val="auto"/>
          <w:kern w:val="2"/>
          <w:sz w:val="32"/>
          <w:szCs w:val="32"/>
          <w:highlight w:val="none"/>
          <w:lang w:val="en-US" w:eastAsia="zh-CN" w:bidi="ar-SA"/>
        </w:rPr>
        <w:t>2024年</w:t>
      </w:r>
      <w:r>
        <w:rPr>
          <w:rFonts w:hint="eastAsia" w:ascii="仿宋_GB2312" w:hAnsi="仿宋_GB2312" w:eastAsia="仿宋_GB2312" w:cs="仿宋_GB2312"/>
          <w:color w:val="auto"/>
          <w:kern w:val="2"/>
          <w:sz w:val="32"/>
          <w:szCs w:val="32"/>
          <w:highlight w:val="none"/>
          <w:lang w:val="zh-CN" w:eastAsia="zh-CN" w:bidi="ar-SA"/>
        </w:rPr>
        <w:t>扶风县杏林镇污水处理厂运行补助资金项目</w:t>
      </w:r>
    </w:p>
    <w:p w14:paraId="57FA3DE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both"/>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2.主管部门：扶风县杏林镇人民政府</w:t>
      </w:r>
    </w:p>
    <w:p w14:paraId="0F1ACBA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3.实施</w:t>
      </w:r>
      <w:r>
        <w:rPr>
          <w:rFonts w:hint="eastAsia" w:ascii="仿宋_GB2312" w:hAnsi="仿宋_GB2312" w:eastAsia="仿宋_GB2312" w:cs="仿宋_GB2312"/>
          <w:color w:val="auto"/>
          <w:kern w:val="2"/>
          <w:sz w:val="32"/>
          <w:szCs w:val="32"/>
          <w:highlight w:val="none"/>
          <w:lang w:val="zh-CN" w:eastAsia="zh-CN" w:bidi="ar-SA"/>
        </w:rPr>
        <w:t>单位：</w:t>
      </w:r>
      <w:r>
        <w:rPr>
          <w:rFonts w:hint="eastAsia" w:ascii="仿宋_GB2312" w:hAnsi="仿宋_GB2312" w:eastAsia="仿宋_GB2312" w:cs="仿宋_GB2312"/>
          <w:color w:val="auto"/>
          <w:kern w:val="2"/>
          <w:sz w:val="32"/>
          <w:szCs w:val="32"/>
          <w:highlight w:val="none"/>
          <w:lang w:val="en-US" w:eastAsia="zh-CN" w:bidi="ar-SA"/>
        </w:rPr>
        <w:t>扶风县杏林镇人民政府</w:t>
      </w:r>
    </w:p>
    <w:p w14:paraId="7338801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4.项目实施内容：</w:t>
      </w:r>
      <w:r>
        <w:rPr>
          <w:rFonts w:ascii="仿宋_GB2312" w:hAnsi="仿宋_GB2312" w:eastAsia="仿宋_GB2312" w:cs="仿宋_GB2312"/>
          <w:color w:val="auto"/>
          <w:kern w:val="2"/>
          <w:sz w:val="32"/>
          <w:szCs w:val="32"/>
          <w:lang w:bidi="ar-SA"/>
        </w:rPr>
        <w:t>该专项资金主要用于杏林镇杏林村污水处理厂的日常运营费用，以确保其正常运转。</w:t>
      </w:r>
    </w:p>
    <w:p w14:paraId="4831F370">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5.项目预算：30.00万元</w:t>
      </w:r>
    </w:p>
    <w:p w14:paraId="34B1ECE4">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6.资金来源：县级财政资金</w:t>
      </w:r>
    </w:p>
    <w:p w14:paraId="5FF28915">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highlight w:val="none"/>
          <w:lang w:val="en-US" w:eastAsia="zh-CN" w:bidi="ar-SA"/>
        </w:rPr>
        <w:t>7.预期效益及作用：该运行补助资金</w:t>
      </w:r>
      <w:r>
        <w:rPr>
          <w:rFonts w:ascii="仿宋_GB2312" w:hAnsi="仿宋_GB2312" w:eastAsia="仿宋_GB2312" w:cs="仿宋_GB2312"/>
          <w:color w:val="auto"/>
          <w:kern w:val="2"/>
          <w:sz w:val="32"/>
          <w:szCs w:val="32"/>
          <w:lang w:bidi="ar-SA"/>
        </w:rPr>
        <w:t>不仅是破解运营困境的务实举措，更是落实生态环保责任、保障民生福祉的必然要求，对维持污水处理厂常态化运行、巩固污染治理成果具有关键作用</w:t>
      </w:r>
      <w:r>
        <w:rPr>
          <w:rFonts w:hint="eastAsia" w:ascii="仿宋_GB2312" w:hAnsi="仿宋_GB2312" w:eastAsia="仿宋_GB2312" w:cs="仿宋_GB2312"/>
          <w:color w:val="auto"/>
          <w:kern w:val="2"/>
          <w:sz w:val="32"/>
          <w:szCs w:val="32"/>
          <w:lang w:eastAsia="zh-CN" w:bidi="ar-SA"/>
        </w:rPr>
        <w:t>。</w:t>
      </w:r>
    </w:p>
    <w:p w14:paraId="2F51787C">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color w:val="auto"/>
          <w:kern w:val="2"/>
          <w:sz w:val="32"/>
          <w:szCs w:val="32"/>
          <w:highlight w:val="none"/>
          <w:lang w:val="en-US" w:eastAsia="zh-CN" w:bidi="ar-SA"/>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三</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rPr>
        <w:t>项目预算</w:t>
      </w:r>
      <w:r>
        <w:rPr>
          <w:rFonts w:hint="eastAsia" w:ascii="楷体" w:hAnsi="楷体" w:eastAsia="楷体" w:cs="楷体"/>
          <w:b/>
          <w:bCs/>
          <w:color w:val="auto"/>
          <w:sz w:val="32"/>
          <w:szCs w:val="32"/>
          <w:highlight w:val="none"/>
          <w:lang w:val="en-US" w:eastAsia="zh-CN"/>
        </w:rPr>
        <w:t>资金</w:t>
      </w:r>
      <w:r>
        <w:rPr>
          <w:rFonts w:hint="eastAsia" w:ascii="楷体" w:hAnsi="楷体" w:eastAsia="楷体" w:cs="楷体"/>
          <w:b/>
          <w:bCs/>
          <w:color w:val="auto"/>
          <w:sz w:val="32"/>
          <w:szCs w:val="32"/>
          <w:highlight w:val="none"/>
        </w:rPr>
        <w:t>安排情况</w:t>
      </w:r>
    </w:p>
    <w:p w14:paraId="0917DB39">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1.项目资金预算情况</w:t>
      </w:r>
    </w:p>
    <w:p w14:paraId="04C5BB10">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jc w:val="both"/>
        <w:textAlignment w:val="auto"/>
        <w:rPr>
          <w:rFonts w:hint="eastAsia" w:ascii="仿宋_GB2312" w:hAnsi="仿宋_GB2312" w:eastAsia="仿宋_GB2312" w:cs="仿宋_GB2312"/>
          <w:b/>
          <w:bCs/>
          <w:kern w:val="2"/>
          <w:sz w:val="28"/>
          <w:szCs w:val="28"/>
          <w:highlight w:val="none"/>
          <w:lang w:val="en-US" w:eastAsia="zh-CN" w:bidi="ar-SA"/>
        </w:rPr>
      </w:pPr>
      <w:r>
        <w:rPr>
          <w:rFonts w:ascii="仿宋_GB2312" w:hAnsi="仿宋_GB2312" w:eastAsia="仿宋_GB2312" w:cs="仿宋_GB2312"/>
          <w:color w:val="auto"/>
          <w:kern w:val="2"/>
          <w:sz w:val="32"/>
          <w:szCs w:val="32"/>
          <w:lang w:bidi="ar-SA"/>
        </w:rPr>
        <w:t>202</w:t>
      </w:r>
      <w:r>
        <w:rPr>
          <w:rFonts w:hint="eastAsia" w:ascii="仿宋_GB2312" w:hAnsi="仿宋_GB2312" w:eastAsia="仿宋_GB2312" w:cs="仿宋_GB2312"/>
          <w:color w:val="auto"/>
          <w:kern w:val="2"/>
          <w:sz w:val="32"/>
          <w:szCs w:val="32"/>
          <w:lang w:val="en-US" w:eastAsia="zh-CN" w:bidi="ar-SA"/>
        </w:rPr>
        <w:t>4</w:t>
      </w:r>
      <w:r>
        <w:rPr>
          <w:rFonts w:ascii="仿宋_GB2312" w:hAnsi="仿宋_GB2312" w:eastAsia="仿宋_GB2312" w:cs="仿宋_GB2312"/>
          <w:color w:val="auto"/>
          <w:kern w:val="2"/>
          <w:sz w:val="32"/>
          <w:szCs w:val="32"/>
          <w:lang w:bidi="ar-SA"/>
        </w:rPr>
        <w:t>年</w:t>
      </w:r>
      <w:r>
        <w:rPr>
          <w:rFonts w:hint="eastAsia" w:ascii="仿宋_GB2312" w:hAnsi="仿宋_GB2312" w:eastAsia="仿宋_GB2312" w:cs="仿宋_GB2312"/>
          <w:color w:val="auto"/>
          <w:kern w:val="2"/>
          <w:sz w:val="32"/>
          <w:szCs w:val="32"/>
          <w:lang w:val="en-US" w:eastAsia="zh-CN" w:bidi="ar-SA"/>
        </w:rPr>
        <w:t>3</w:t>
      </w:r>
      <w:r>
        <w:rPr>
          <w:rFonts w:ascii="仿宋_GB2312" w:hAnsi="仿宋_GB2312" w:eastAsia="仿宋_GB2312" w:cs="仿宋_GB2312"/>
          <w:color w:val="auto"/>
          <w:kern w:val="2"/>
          <w:sz w:val="32"/>
          <w:szCs w:val="32"/>
          <w:lang w:bidi="ar-SA"/>
        </w:rPr>
        <w:t>月</w:t>
      </w:r>
      <w:r>
        <w:rPr>
          <w:rFonts w:hint="eastAsia" w:ascii="仿宋_GB2312" w:hAnsi="仿宋_GB2312" w:eastAsia="仿宋_GB2312" w:cs="仿宋_GB2312"/>
          <w:color w:val="auto"/>
          <w:kern w:val="2"/>
          <w:sz w:val="32"/>
          <w:szCs w:val="32"/>
          <w:lang w:val="en-US" w:eastAsia="zh-CN" w:bidi="ar-SA"/>
        </w:rPr>
        <w:t>5</w:t>
      </w:r>
      <w:r>
        <w:rPr>
          <w:rFonts w:ascii="仿宋_GB2312" w:hAnsi="仿宋_GB2312" w:eastAsia="仿宋_GB2312" w:cs="仿宋_GB2312"/>
          <w:color w:val="auto"/>
          <w:kern w:val="2"/>
          <w:sz w:val="32"/>
          <w:szCs w:val="32"/>
          <w:lang w:bidi="ar-SA"/>
        </w:rPr>
        <w:t>日，</w:t>
      </w:r>
      <w:r>
        <w:rPr>
          <w:rFonts w:hint="eastAsia" w:ascii="仿宋_GB2312" w:hAnsi="仿宋_GB2312" w:eastAsia="仿宋_GB2312" w:cs="仿宋_GB2312"/>
          <w:color w:val="auto"/>
          <w:kern w:val="2"/>
          <w:sz w:val="32"/>
          <w:szCs w:val="32"/>
          <w:lang w:val="en-US" w:eastAsia="zh-CN" w:bidi="ar-SA"/>
        </w:rPr>
        <w:t>扶风</w:t>
      </w:r>
      <w:r>
        <w:rPr>
          <w:rFonts w:ascii="仿宋_GB2312" w:hAnsi="仿宋_GB2312" w:eastAsia="仿宋_GB2312" w:cs="仿宋_GB2312"/>
          <w:color w:val="auto"/>
          <w:kern w:val="2"/>
          <w:sz w:val="32"/>
          <w:szCs w:val="32"/>
          <w:lang w:bidi="ar-SA"/>
        </w:rPr>
        <w:t>县</w:t>
      </w:r>
      <w:r>
        <w:rPr>
          <w:rFonts w:hint="eastAsia" w:ascii="仿宋_GB2312" w:hAnsi="仿宋_GB2312" w:eastAsia="仿宋_GB2312" w:cs="仿宋_GB2312"/>
          <w:color w:val="auto"/>
          <w:kern w:val="2"/>
          <w:sz w:val="32"/>
          <w:szCs w:val="32"/>
          <w:lang w:val="en-US" w:eastAsia="zh-CN" w:bidi="ar-SA"/>
        </w:rPr>
        <w:t>财政局</w:t>
      </w:r>
      <w:r>
        <w:rPr>
          <w:rFonts w:ascii="仿宋_GB2312" w:hAnsi="仿宋_GB2312" w:eastAsia="仿宋_GB2312" w:cs="仿宋_GB2312"/>
          <w:color w:val="auto"/>
          <w:kern w:val="2"/>
          <w:sz w:val="32"/>
          <w:szCs w:val="32"/>
          <w:lang w:bidi="ar-SA"/>
        </w:rPr>
        <w:t>依据</w:t>
      </w:r>
      <w:r>
        <w:rPr>
          <w:rFonts w:hint="eastAsia" w:ascii="仿宋_GB2312" w:hAnsi="仿宋_GB2312" w:eastAsia="仿宋_GB2312" w:cs="仿宋_GB2312"/>
          <w:color w:val="auto"/>
          <w:kern w:val="2"/>
          <w:sz w:val="32"/>
          <w:szCs w:val="32"/>
          <w:lang w:val="en-US" w:eastAsia="zh-CN" w:bidi="ar-SA"/>
        </w:rPr>
        <w:t>扶财办预</w:t>
      </w:r>
      <w:r>
        <w:rPr>
          <w:rFonts w:hint="eastAsia" w:ascii="仿宋_GB2312" w:hAnsi="仿宋_GB2312" w:eastAsia="仿宋_GB2312" w:cs="仿宋_GB2312"/>
          <w:bCs/>
          <w:color w:val="auto"/>
          <w:sz w:val="32"/>
          <w:szCs w:val="32"/>
          <w:highlight w:val="none"/>
          <w:lang w:val="en-US" w:eastAsia="zh-CN"/>
        </w:rPr>
        <w:t>〔2024〕</w:t>
      </w:r>
      <w:r>
        <w:rPr>
          <w:rFonts w:hint="eastAsia" w:ascii="仿宋_GB2312" w:hAnsi="仿宋_GB2312" w:eastAsia="仿宋_GB2312" w:cs="仿宋_GB2312"/>
          <w:color w:val="auto"/>
          <w:kern w:val="2"/>
          <w:sz w:val="32"/>
          <w:szCs w:val="32"/>
          <w:lang w:val="en-US" w:eastAsia="zh-CN" w:bidi="ar-SA"/>
        </w:rPr>
        <w:t>1号文件</w:t>
      </w:r>
      <w:r>
        <w:rPr>
          <w:rFonts w:ascii="仿宋_GB2312" w:hAnsi="仿宋_GB2312" w:eastAsia="仿宋_GB2312" w:cs="仿宋_GB2312"/>
          <w:color w:val="auto"/>
          <w:kern w:val="2"/>
          <w:sz w:val="32"/>
          <w:szCs w:val="32"/>
          <w:lang w:bidi="ar-SA"/>
        </w:rPr>
        <w:t>，向项目实施单位</w:t>
      </w:r>
      <w:r>
        <w:rPr>
          <w:rFonts w:hint="eastAsia" w:ascii="仿宋_GB2312" w:hAnsi="仿宋_GB2312" w:eastAsia="仿宋_GB2312" w:cs="仿宋_GB2312"/>
          <w:color w:val="auto"/>
          <w:kern w:val="2"/>
          <w:sz w:val="32"/>
          <w:szCs w:val="32"/>
          <w:lang w:val="en-US" w:eastAsia="zh-CN" w:bidi="ar-SA"/>
        </w:rPr>
        <w:t>下达</w:t>
      </w:r>
      <w:r>
        <w:rPr>
          <w:rFonts w:ascii="仿宋_GB2312" w:hAnsi="仿宋_GB2312" w:eastAsia="仿宋_GB2312" w:cs="仿宋_GB2312"/>
          <w:color w:val="auto"/>
          <w:kern w:val="2"/>
          <w:sz w:val="32"/>
          <w:szCs w:val="32"/>
          <w:lang w:bidi="ar-SA"/>
        </w:rPr>
        <w:t>专项资金</w:t>
      </w:r>
      <w:r>
        <w:rPr>
          <w:rFonts w:hint="eastAsia" w:ascii="仿宋_GB2312" w:hAnsi="仿宋_GB2312" w:eastAsia="仿宋_GB2312" w:cs="仿宋_GB2312"/>
          <w:color w:val="auto"/>
          <w:kern w:val="2"/>
          <w:sz w:val="32"/>
          <w:szCs w:val="32"/>
          <w:lang w:val="en-US" w:eastAsia="zh-CN" w:bidi="ar-SA"/>
        </w:rPr>
        <w:t>30.00</w:t>
      </w:r>
      <w:r>
        <w:rPr>
          <w:rFonts w:ascii="仿宋_GB2312" w:hAnsi="仿宋_GB2312" w:eastAsia="仿宋_GB2312" w:cs="仿宋_GB2312"/>
          <w:color w:val="auto"/>
          <w:kern w:val="2"/>
          <w:sz w:val="32"/>
          <w:szCs w:val="32"/>
          <w:lang w:bidi="ar-SA"/>
        </w:rPr>
        <w:t>万元。详见表1。</w:t>
      </w:r>
    </w:p>
    <w:p w14:paraId="7B8EF97B">
      <w:pPr>
        <w:keepNext w:val="0"/>
        <w:keepLines w:val="0"/>
        <w:pageBreakBefore w:val="0"/>
        <w:widowControl w:val="0"/>
        <w:kinsoku/>
        <w:wordWrap/>
        <w:overflowPunct/>
        <w:topLinePunct w:val="0"/>
        <w:autoSpaceDE/>
        <w:autoSpaceDN/>
        <w:bidi w:val="0"/>
        <w:adjustRightInd/>
        <w:snapToGrid/>
        <w:spacing w:line="560" w:lineRule="exact"/>
        <w:ind w:left="7590" w:hanging="7641" w:hangingChars="270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kern w:val="2"/>
          <w:sz w:val="28"/>
          <w:szCs w:val="28"/>
          <w:highlight w:val="none"/>
          <w:lang w:val="en-US" w:eastAsia="zh-CN" w:bidi="ar-SA"/>
        </w:rPr>
        <w:t>表1    项目资金计划情况表</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21"/>
          <w:szCs w:val="21"/>
          <w:highlight w:val="none"/>
          <w:lang w:val="en-US" w:eastAsia="zh-CN"/>
        </w:rPr>
        <w:t xml:space="preserve">   单位：万元</w:t>
      </w:r>
    </w:p>
    <w:tbl>
      <w:tblPr>
        <w:tblStyle w:val="16"/>
        <w:tblpPr w:leftFromText="181" w:rightFromText="181" w:vertAnchor="text" w:horzAnchor="page" w:tblpX="1668" w:tblpY="114"/>
        <w:tblOverlap w:val="never"/>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343"/>
        <w:gridCol w:w="1763"/>
        <w:gridCol w:w="2876"/>
        <w:gridCol w:w="1966"/>
      </w:tblGrid>
      <w:tr w14:paraId="3C2E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30" w:type="dxa"/>
            <w:tcBorders>
              <w:left w:val="nil"/>
              <w:bottom w:val="single" w:color="auto" w:sz="4" w:space="0"/>
              <w:right w:val="single" w:color="auto" w:sz="4" w:space="0"/>
            </w:tcBorders>
            <w:shd w:val="clear" w:color="auto" w:fill="D7D7D7"/>
            <w:noWrap w:val="0"/>
            <w:vAlign w:val="center"/>
          </w:tcPr>
          <w:p w14:paraId="550F7136">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序号</w:t>
            </w:r>
          </w:p>
        </w:tc>
        <w:tc>
          <w:tcPr>
            <w:tcW w:w="1343" w:type="dxa"/>
            <w:tcBorders>
              <w:left w:val="single" w:color="auto" w:sz="4" w:space="0"/>
              <w:bottom w:val="single" w:color="auto" w:sz="4" w:space="0"/>
              <w:right w:val="single" w:color="000000" w:sz="4" w:space="0"/>
            </w:tcBorders>
            <w:shd w:val="clear" w:color="auto" w:fill="D7D7D7"/>
            <w:noWrap w:val="0"/>
            <w:vAlign w:val="center"/>
          </w:tcPr>
          <w:p w14:paraId="5618B607">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资金来源</w:t>
            </w:r>
          </w:p>
        </w:tc>
        <w:tc>
          <w:tcPr>
            <w:tcW w:w="1763" w:type="dxa"/>
            <w:tcBorders>
              <w:left w:val="single" w:color="000000" w:sz="4" w:space="0"/>
              <w:bottom w:val="single" w:color="auto" w:sz="4" w:space="0"/>
              <w:right w:val="single" w:color="auto" w:sz="4" w:space="0"/>
            </w:tcBorders>
            <w:shd w:val="clear" w:color="auto" w:fill="D7D7D7"/>
            <w:noWrap w:val="0"/>
            <w:vAlign w:val="center"/>
          </w:tcPr>
          <w:p w14:paraId="0D7B45BB">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财政预算金额</w:t>
            </w:r>
          </w:p>
        </w:tc>
        <w:tc>
          <w:tcPr>
            <w:tcW w:w="2876" w:type="dxa"/>
            <w:tcBorders>
              <w:left w:val="single" w:color="auto" w:sz="4" w:space="0"/>
              <w:bottom w:val="single" w:color="auto" w:sz="4" w:space="0"/>
              <w:right w:val="nil"/>
            </w:tcBorders>
            <w:shd w:val="clear" w:color="auto" w:fill="D7D7D7"/>
            <w:noWrap w:val="0"/>
            <w:vAlign w:val="center"/>
          </w:tcPr>
          <w:p w14:paraId="2D861753">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资金下达文号</w:t>
            </w:r>
          </w:p>
        </w:tc>
        <w:tc>
          <w:tcPr>
            <w:tcW w:w="1966" w:type="dxa"/>
            <w:tcBorders>
              <w:left w:val="single" w:color="auto" w:sz="4" w:space="0"/>
              <w:bottom w:val="single" w:color="auto" w:sz="4" w:space="0"/>
              <w:right w:val="nil"/>
            </w:tcBorders>
            <w:shd w:val="clear" w:color="auto" w:fill="D7D7D7"/>
            <w:noWrap w:val="0"/>
            <w:vAlign w:val="center"/>
          </w:tcPr>
          <w:p w14:paraId="414AABA7">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指标下达日期</w:t>
            </w:r>
          </w:p>
        </w:tc>
      </w:tr>
      <w:tr w14:paraId="6F42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30" w:type="dxa"/>
            <w:tcBorders>
              <w:top w:val="single" w:color="auto" w:sz="4" w:space="0"/>
              <w:left w:val="nil"/>
              <w:bottom w:val="single" w:color="auto" w:sz="4" w:space="0"/>
              <w:right w:val="single" w:color="auto" w:sz="4" w:space="0"/>
            </w:tcBorders>
            <w:shd w:val="clear" w:color="auto" w:fill="auto"/>
            <w:noWrap w:val="0"/>
            <w:vAlign w:val="center"/>
          </w:tcPr>
          <w:p w14:paraId="10326441">
            <w:pPr>
              <w:spacing w:line="240" w:lineRule="exact"/>
              <w:jc w:val="center"/>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1</w:t>
            </w:r>
          </w:p>
        </w:tc>
        <w:tc>
          <w:tcPr>
            <w:tcW w:w="1343"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08EAABCA">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县级资金</w:t>
            </w:r>
          </w:p>
        </w:tc>
        <w:tc>
          <w:tcPr>
            <w:tcW w:w="1763"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41C4F67C">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30.00</w:t>
            </w:r>
          </w:p>
        </w:tc>
        <w:tc>
          <w:tcPr>
            <w:tcW w:w="2876" w:type="dxa"/>
            <w:tcBorders>
              <w:top w:val="single" w:color="auto" w:sz="4" w:space="0"/>
              <w:left w:val="single" w:color="auto" w:sz="4" w:space="0"/>
              <w:bottom w:val="single" w:color="auto" w:sz="4" w:space="0"/>
              <w:right w:val="nil"/>
            </w:tcBorders>
            <w:shd w:val="clear" w:color="auto" w:fill="auto"/>
            <w:noWrap w:val="0"/>
            <w:vAlign w:val="center"/>
          </w:tcPr>
          <w:p w14:paraId="203359F5">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扶财办预〔2024〕1号</w:t>
            </w:r>
          </w:p>
        </w:tc>
        <w:tc>
          <w:tcPr>
            <w:tcW w:w="1966" w:type="dxa"/>
            <w:tcBorders>
              <w:top w:val="single" w:color="auto" w:sz="4" w:space="0"/>
              <w:left w:val="single" w:color="auto" w:sz="4" w:space="0"/>
              <w:bottom w:val="single" w:color="auto" w:sz="4" w:space="0"/>
              <w:right w:val="nil"/>
            </w:tcBorders>
            <w:shd w:val="clear" w:color="auto" w:fill="auto"/>
            <w:noWrap w:val="0"/>
            <w:vAlign w:val="center"/>
          </w:tcPr>
          <w:p w14:paraId="39B3F21D">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2024年3月5日</w:t>
            </w:r>
          </w:p>
        </w:tc>
      </w:tr>
      <w:tr w14:paraId="01A0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73" w:type="dxa"/>
            <w:gridSpan w:val="2"/>
            <w:tcBorders>
              <w:top w:val="single" w:color="auto" w:sz="4" w:space="0"/>
              <w:left w:val="nil"/>
              <w:right w:val="single" w:color="000000" w:sz="4" w:space="0"/>
            </w:tcBorders>
            <w:shd w:val="clear" w:color="auto" w:fill="auto"/>
            <w:noWrap w:val="0"/>
            <w:vAlign w:val="center"/>
          </w:tcPr>
          <w:p w14:paraId="054FB5AC">
            <w:pPr>
              <w:spacing w:line="240" w:lineRule="exact"/>
              <w:jc w:val="center"/>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合计</w:t>
            </w:r>
          </w:p>
        </w:tc>
        <w:tc>
          <w:tcPr>
            <w:tcW w:w="1763"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7D4AADAB">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30.00</w:t>
            </w:r>
          </w:p>
        </w:tc>
        <w:tc>
          <w:tcPr>
            <w:tcW w:w="2876" w:type="dxa"/>
            <w:tcBorders>
              <w:top w:val="single" w:color="auto" w:sz="4" w:space="0"/>
              <w:left w:val="single" w:color="auto" w:sz="4" w:space="0"/>
              <w:right w:val="nil"/>
            </w:tcBorders>
            <w:shd w:val="clear" w:color="auto" w:fill="auto"/>
            <w:noWrap w:val="0"/>
            <w:vAlign w:val="center"/>
          </w:tcPr>
          <w:p w14:paraId="206FE3DD">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w:t>
            </w:r>
          </w:p>
        </w:tc>
        <w:tc>
          <w:tcPr>
            <w:tcW w:w="1966" w:type="dxa"/>
            <w:tcBorders>
              <w:top w:val="single" w:color="auto" w:sz="4" w:space="0"/>
              <w:left w:val="single" w:color="auto" w:sz="4" w:space="0"/>
              <w:bottom w:val="single" w:color="auto" w:sz="4" w:space="0"/>
              <w:right w:val="nil"/>
            </w:tcBorders>
            <w:shd w:val="clear" w:color="auto" w:fill="auto"/>
            <w:noWrap w:val="0"/>
            <w:vAlign w:val="center"/>
          </w:tcPr>
          <w:p w14:paraId="1524EB5B">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w:t>
            </w:r>
          </w:p>
        </w:tc>
      </w:tr>
    </w:tbl>
    <w:p w14:paraId="214845C2">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2.项目资金到位情况</w:t>
      </w:r>
    </w:p>
    <w:p w14:paraId="5978E1C0">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jc w:val="both"/>
        <w:textAlignment w:val="auto"/>
        <w:rPr>
          <w:rFonts w:hint="eastAsia" w:ascii="仿宋" w:hAnsi="仿宋" w:eastAsia="仿宋" w:cs="仿宋"/>
          <w:b/>
          <w:bCs/>
          <w:color w:val="auto"/>
          <w:kern w:val="2"/>
          <w:sz w:val="28"/>
          <w:szCs w:val="28"/>
          <w:highlight w:val="none"/>
          <w:lang w:val="en-US" w:eastAsia="zh-CN" w:bidi="ar-SA"/>
        </w:rPr>
      </w:pPr>
      <w:r>
        <w:rPr>
          <w:rFonts w:hint="eastAsia" w:ascii="仿宋_GB2312" w:hAnsi="仿宋_GB2312" w:eastAsia="仿宋_GB2312" w:cs="仿宋_GB2312"/>
          <w:color w:val="auto"/>
          <w:kern w:val="2"/>
          <w:sz w:val="32"/>
          <w:szCs w:val="32"/>
          <w:lang w:val="en-US" w:eastAsia="zh-CN" w:bidi="ar-SA"/>
        </w:rPr>
        <w:t>截至评价日</w:t>
      </w:r>
      <w:r>
        <w:rPr>
          <w:rFonts w:ascii="仿宋_GB2312" w:hAnsi="仿宋_GB2312" w:eastAsia="仿宋_GB2312" w:cs="仿宋_GB2312"/>
          <w:color w:val="auto"/>
          <w:kern w:val="2"/>
          <w:sz w:val="32"/>
          <w:szCs w:val="32"/>
          <w:lang w:bidi="ar-SA"/>
        </w:rPr>
        <w:t>，</w:t>
      </w:r>
      <w:r>
        <w:rPr>
          <w:rFonts w:hint="eastAsia" w:ascii="仿宋_GB2312" w:hAnsi="仿宋_GB2312" w:eastAsia="仿宋_GB2312" w:cs="仿宋_GB2312"/>
          <w:color w:val="auto"/>
          <w:kern w:val="2"/>
          <w:sz w:val="32"/>
          <w:szCs w:val="32"/>
          <w:lang w:val="en-US" w:eastAsia="zh-CN" w:bidi="ar-SA"/>
        </w:rPr>
        <w:t>该</w:t>
      </w:r>
      <w:r>
        <w:rPr>
          <w:rFonts w:ascii="仿宋_GB2312" w:hAnsi="仿宋_GB2312" w:eastAsia="仿宋_GB2312" w:cs="仿宋_GB2312"/>
          <w:color w:val="auto"/>
          <w:kern w:val="2"/>
          <w:sz w:val="32"/>
          <w:szCs w:val="32"/>
          <w:lang w:bidi="ar-SA"/>
        </w:rPr>
        <w:t>项目</w:t>
      </w:r>
      <w:r>
        <w:rPr>
          <w:rFonts w:hint="eastAsia" w:ascii="仿宋_GB2312" w:hAnsi="仿宋_GB2312" w:eastAsia="仿宋_GB2312" w:cs="仿宋_GB2312"/>
          <w:color w:val="auto"/>
          <w:kern w:val="2"/>
          <w:sz w:val="32"/>
          <w:szCs w:val="32"/>
          <w:lang w:val="en-US" w:eastAsia="zh-CN" w:bidi="ar-SA"/>
        </w:rPr>
        <w:t>到位</w:t>
      </w:r>
      <w:r>
        <w:rPr>
          <w:rFonts w:ascii="仿宋_GB2312" w:hAnsi="仿宋_GB2312" w:eastAsia="仿宋_GB2312" w:cs="仿宋_GB2312"/>
          <w:color w:val="auto"/>
          <w:kern w:val="2"/>
          <w:sz w:val="32"/>
          <w:szCs w:val="32"/>
          <w:lang w:bidi="ar-SA"/>
        </w:rPr>
        <w:t>资金</w:t>
      </w:r>
      <w:r>
        <w:rPr>
          <w:rFonts w:hint="eastAsia" w:ascii="仿宋_GB2312" w:hAnsi="仿宋_GB2312" w:eastAsia="仿宋_GB2312" w:cs="仿宋_GB2312"/>
          <w:color w:val="auto"/>
          <w:kern w:val="2"/>
          <w:sz w:val="32"/>
          <w:szCs w:val="32"/>
          <w:lang w:val="en-US" w:eastAsia="zh-CN" w:bidi="ar-SA"/>
        </w:rPr>
        <w:t>30.00万元</w:t>
      </w:r>
      <w:r>
        <w:rPr>
          <w:rFonts w:ascii="仿宋_GB2312" w:hAnsi="仿宋_GB2312" w:eastAsia="仿宋_GB2312" w:cs="仿宋_GB2312"/>
          <w:color w:val="auto"/>
          <w:kern w:val="2"/>
          <w:sz w:val="32"/>
          <w:szCs w:val="32"/>
          <w:lang w:bidi="ar-SA"/>
        </w:rPr>
        <w:t>，预算资金到位率100</w:t>
      </w:r>
      <w:r>
        <w:rPr>
          <w:rFonts w:hint="eastAsia" w:ascii="仿宋_GB2312" w:hAnsi="仿宋_GB2312" w:eastAsia="仿宋_GB2312" w:cs="仿宋_GB2312"/>
          <w:color w:val="auto"/>
          <w:kern w:val="2"/>
          <w:sz w:val="32"/>
          <w:szCs w:val="32"/>
          <w:lang w:val="en-US" w:eastAsia="zh-CN" w:bidi="ar-SA"/>
        </w:rPr>
        <w:t>.00</w:t>
      </w:r>
      <w:r>
        <w:rPr>
          <w:rFonts w:ascii="仿宋_GB2312" w:hAnsi="仿宋_GB2312" w:eastAsia="仿宋_GB2312" w:cs="仿宋_GB2312"/>
          <w:color w:val="auto"/>
          <w:kern w:val="2"/>
          <w:sz w:val="32"/>
          <w:szCs w:val="32"/>
          <w:lang w:bidi="ar-SA"/>
        </w:rPr>
        <w:t>%。</w:t>
      </w:r>
      <w:r>
        <w:rPr>
          <w:rFonts w:hint="eastAsia" w:ascii="仿宋_GB2312" w:hAnsi="仿宋_GB2312" w:eastAsia="仿宋_GB2312" w:cs="仿宋_GB2312"/>
          <w:color w:val="auto"/>
          <w:kern w:val="2"/>
          <w:sz w:val="32"/>
          <w:szCs w:val="32"/>
          <w:highlight w:val="none"/>
          <w:lang w:val="en-US" w:eastAsia="zh-CN" w:bidi="ar-SA"/>
        </w:rPr>
        <w:t>详见表2。</w:t>
      </w:r>
    </w:p>
    <w:p w14:paraId="49E30675">
      <w:pPr>
        <w:keepNext w:val="0"/>
        <w:keepLines w:val="0"/>
        <w:pageBreakBefore w:val="0"/>
        <w:widowControl w:val="0"/>
        <w:kinsoku/>
        <w:wordWrap/>
        <w:overflowPunct/>
        <w:topLinePunct w:val="0"/>
        <w:autoSpaceDE/>
        <w:autoSpaceDN/>
        <w:bidi w:val="0"/>
        <w:adjustRightInd/>
        <w:snapToGrid/>
        <w:spacing w:line="560" w:lineRule="exact"/>
        <w:ind w:left="7590" w:hanging="7641" w:hangingChars="270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bidi="ar-SA"/>
        </w:rPr>
        <w:t>表2   项目预算资金到位情况表</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21"/>
          <w:szCs w:val="21"/>
          <w:highlight w:val="none"/>
          <w:lang w:val="en-US" w:eastAsia="zh-CN"/>
        </w:rPr>
        <w:t>单位：万元</w:t>
      </w:r>
    </w:p>
    <w:tbl>
      <w:tblPr>
        <w:tblStyle w:val="16"/>
        <w:tblpPr w:leftFromText="181" w:rightFromText="181" w:vertAnchor="text" w:horzAnchor="page" w:tblpX="1668" w:tblpY="114"/>
        <w:tblOverlap w:val="never"/>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302"/>
        <w:gridCol w:w="1640"/>
        <w:gridCol w:w="1180"/>
        <w:gridCol w:w="1771"/>
        <w:gridCol w:w="2148"/>
      </w:tblGrid>
      <w:tr w14:paraId="415B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95" w:type="dxa"/>
            <w:tcBorders>
              <w:left w:val="nil"/>
              <w:bottom w:val="single" w:color="auto" w:sz="4" w:space="0"/>
              <w:right w:val="single" w:color="auto" w:sz="4" w:space="0"/>
            </w:tcBorders>
            <w:shd w:val="clear" w:color="auto" w:fill="D7D7D7"/>
            <w:noWrap w:val="0"/>
            <w:vAlign w:val="center"/>
          </w:tcPr>
          <w:p w14:paraId="6DF371EB">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序号</w:t>
            </w:r>
          </w:p>
        </w:tc>
        <w:tc>
          <w:tcPr>
            <w:tcW w:w="1302" w:type="dxa"/>
            <w:tcBorders>
              <w:left w:val="single" w:color="auto" w:sz="4" w:space="0"/>
              <w:bottom w:val="single" w:color="auto" w:sz="4" w:space="0"/>
              <w:right w:val="single" w:color="000000" w:sz="4" w:space="0"/>
            </w:tcBorders>
            <w:shd w:val="clear" w:color="auto" w:fill="D7D7D7"/>
            <w:noWrap w:val="0"/>
            <w:vAlign w:val="center"/>
          </w:tcPr>
          <w:p w14:paraId="0C58F2D2">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资金来源</w:t>
            </w:r>
          </w:p>
        </w:tc>
        <w:tc>
          <w:tcPr>
            <w:tcW w:w="1640" w:type="dxa"/>
            <w:tcBorders>
              <w:left w:val="single" w:color="000000" w:sz="4" w:space="0"/>
              <w:bottom w:val="single" w:color="auto" w:sz="4" w:space="0"/>
              <w:right w:val="single" w:color="auto" w:sz="4" w:space="0"/>
            </w:tcBorders>
            <w:shd w:val="clear" w:color="auto" w:fill="D7D7D7"/>
            <w:noWrap w:val="0"/>
            <w:vAlign w:val="center"/>
          </w:tcPr>
          <w:p w14:paraId="158558E6">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预算到位资金</w:t>
            </w:r>
          </w:p>
        </w:tc>
        <w:tc>
          <w:tcPr>
            <w:tcW w:w="1180" w:type="dxa"/>
            <w:tcBorders>
              <w:left w:val="single" w:color="auto" w:sz="4" w:space="0"/>
              <w:bottom w:val="single" w:color="auto" w:sz="4" w:space="0"/>
              <w:right w:val="nil"/>
            </w:tcBorders>
            <w:shd w:val="clear" w:color="auto" w:fill="D7D7D7"/>
            <w:noWrap w:val="0"/>
            <w:vAlign w:val="center"/>
          </w:tcPr>
          <w:p w14:paraId="4DEF982F">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到位资金</w:t>
            </w:r>
          </w:p>
        </w:tc>
        <w:tc>
          <w:tcPr>
            <w:tcW w:w="1771" w:type="dxa"/>
            <w:tcBorders>
              <w:left w:val="single" w:color="auto" w:sz="4" w:space="0"/>
              <w:bottom w:val="single" w:color="auto" w:sz="4" w:space="0"/>
              <w:right w:val="nil"/>
            </w:tcBorders>
            <w:shd w:val="clear" w:color="auto" w:fill="D7D7D7"/>
            <w:noWrap w:val="0"/>
            <w:vAlign w:val="center"/>
          </w:tcPr>
          <w:p w14:paraId="0E848673">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sz w:val="21"/>
                <w:szCs w:val="21"/>
                <w:highlight w:val="none"/>
                <w:vertAlign w:val="baseline"/>
                <w:lang w:val="en-US" w:eastAsia="zh-CN"/>
              </w:rPr>
              <w:t>预算资金到位率</w:t>
            </w:r>
          </w:p>
        </w:tc>
        <w:tc>
          <w:tcPr>
            <w:tcW w:w="2148" w:type="dxa"/>
            <w:tcBorders>
              <w:left w:val="single" w:color="auto" w:sz="4" w:space="0"/>
              <w:bottom w:val="single" w:color="auto" w:sz="4" w:space="0"/>
              <w:right w:val="nil"/>
            </w:tcBorders>
            <w:shd w:val="clear" w:color="auto" w:fill="D7D7D7"/>
            <w:noWrap w:val="0"/>
            <w:vAlign w:val="center"/>
          </w:tcPr>
          <w:p w14:paraId="25086FD9">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到位日期</w:t>
            </w:r>
          </w:p>
        </w:tc>
      </w:tr>
      <w:tr w14:paraId="382D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95" w:type="dxa"/>
            <w:tcBorders>
              <w:top w:val="single" w:color="auto" w:sz="4" w:space="0"/>
              <w:left w:val="nil"/>
              <w:bottom w:val="single" w:color="auto" w:sz="4" w:space="0"/>
              <w:right w:val="single" w:color="auto" w:sz="4" w:space="0"/>
            </w:tcBorders>
            <w:shd w:val="clear" w:color="auto" w:fill="auto"/>
            <w:noWrap w:val="0"/>
            <w:vAlign w:val="center"/>
          </w:tcPr>
          <w:p w14:paraId="4AF987A3">
            <w:pPr>
              <w:spacing w:line="240" w:lineRule="exact"/>
              <w:jc w:val="center"/>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1</w:t>
            </w:r>
          </w:p>
        </w:tc>
        <w:tc>
          <w:tcPr>
            <w:tcW w:w="1302"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0990DB74">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县级资金</w:t>
            </w:r>
          </w:p>
        </w:tc>
        <w:tc>
          <w:tcPr>
            <w:tcW w:w="1640"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2953A8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30.00</w:t>
            </w:r>
          </w:p>
        </w:tc>
        <w:tc>
          <w:tcPr>
            <w:tcW w:w="1180" w:type="dxa"/>
            <w:tcBorders>
              <w:top w:val="single" w:color="auto" w:sz="4" w:space="0"/>
              <w:left w:val="single" w:color="auto" w:sz="4" w:space="0"/>
              <w:bottom w:val="single" w:color="auto" w:sz="4" w:space="0"/>
              <w:right w:val="nil"/>
            </w:tcBorders>
            <w:shd w:val="clear" w:color="auto" w:fill="auto"/>
            <w:noWrap w:val="0"/>
            <w:vAlign w:val="center"/>
          </w:tcPr>
          <w:p w14:paraId="723D79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30.00</w:t>
            </w:r>
          </w:p>
        </w:tc>
        <w:tc>
          <w:tcPr>
            <w:tcW w:w="1771" w:type="dxa"/>
            <w:tcBorders>
              <w:top w:val="single" w:color="auto" w:sz="4" w:space="0"/>
              <w:left w:val="single" w:color="auto" w:sz="4" w:space="0"/>
              <w:bottom w:val="single" w:color="auto" w:sz="4" w:space="0"/>
              <w:right w:val="nil"/>
            </w:tcBorders>
            <w:shd w:val="clear" w:color="auto" w:fill="auto"/>
            <w:noWrap w:val="0"/>
            <w:vAlign w:val="center"/>
          </w:tcPr>
          <w:p w14:paraId="51A806AB">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100.00%</w:t>
            </w:r>
          </w:p>
        </w:tc>
        <w:tc>
          <w:tcPr>
            <w:tcW w:w="2148" w:type="dxa"/>
            <w:tcBorders>
              <w:top w:val="single" w:color="auto" w:sz="4" w:space="0"/>
              <w:left w:val="single" w:color="auto" w:sz="4" w:space="0"/>
              <w:bottom w:val="single" w:color="auto" w:sz="4" w:space="0"/>
              <w:right w:val="nil"/>
            </w:tcBorders>
            <w:shd w:val="clear" w:color="auto" w:fill="auto"/>
            <w:noWrap w:val="0"/>
            <w:vAlign w:val="center"/>
          </w:tcPr>
          <w:p w14:paraId="6ABAB339">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2024年3月5日</w:t>
            </w:r>
          </w:p>
        </w:tc>
      </w:tr>
      <w:tr w14:paraId="1957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97" w:type="dxa"/>
            <w:gridSpan w:val="2"/>
            <w:tcBorders>
              <w:top w:val="single" w:color="auto" w:sz="4" w:space="0"/>
              <w:left w:val="nil"/>
              <w:right w:val="single" w:color="000000" w:sz="4" w:space="0"/>
            </w:tcBorders>
            <w:shd w:val="clear" w:color="auto" w:fill="auto"/>
            <w:noWrap w:val="0"/>
            <w:vAlign w:val="center"/>
          </w:tcPr>
          <w:p w14:paraId="7C902036">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合计</w:t>
            </w:r>
          </w:p>
        </w:tc>
        <w:tc>
          <w:tcPr>
            <w:tcW w:w="1640"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1FCFF1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30.00</w:t>
            </w:r>
          </w:p>
        </w:tc>
        <w:tc>
          <w:tcPr>
            <w:tcW w:w="1180" w:type="dxa"/>
            <w:tcBorders>
              <w:top w:val="single" w:color="auto" w:sz="4" w:space="0"/>
              <w:left w:val="single" w:color="auto" w:sz="4" w:space="0"/>
              <w:bottom w:val="single" w:color="auto" w:sz="4" w:space="0"/>
              <w:right w:val="nil"/>
            </w:tcBorders>
            <w:shd w:val="clear" w:color="auto" w:fill="auto"/>
            <w:noWrap w:val="0"/>
            <w:vAlign w:val="center"/>
          </w:tcPr>
          <w:p w14:paraId="113884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30.00</w:t>
            </w:r>
          </w:p>
        </w:tc>
        <w:tc>
          <w:tcPr>
            <w:tcW w:w="1771" w:type="dxa"/>
            <w:tcBorders>
              <w:top w:val="single" w:color="auto" w:sz="4" w:space="0"/>
              <w:left w:val="single" w:color="auto" w:sz="4" w:space="0"/>
              <w:right w:val="nil"/>
            </w:tcBorders>
            <w:shd w:val="clear" w:color="auto" w:fill="auto"/>
            <w:noWrap w:val="0"/>
            <w:vAlign w:val="center"/>
          </w:tcPr>
          <w:p w14:paraId="39AC1480">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w:t>
            </w:r>
          </w:p>
        </w:tc>
        <w:tc>
          <w:tcPr>
            <w:tcW w:w="2148" w:type="dxa"/>
            <w:tcBorders>
              <w:top w:val="single" w:color="auto" w:sz="4" w:space="0"/>
              <w:left w:val="single" w:color="auto" w:sz="4" w:space="0"/>
              <w:bottom w:val="single" w:color="auto" w:sz="4" w:space="0"/>
              <w:right w:val="nil"/>
            </w:tcBorders>
            <w:shd w:val="clear" w:color="auto" w:fill="auto"/>
            <w:noWrap w:val="0"/>
            <w:vAlign w:val="center"/>
          </w:tcPr>
          <w:p w14:paraId="592A4610">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w:t>
            </w:r>
          </w:p>
        </w:tc>
      </w:tr>
    </w:tbl>
    <w:p w14:paraId="116283B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6" w:firstLineChars="200"/>
        <w:textAlignment w:val="auto"/>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项目预算</w:t>
      </w:r>
      <w:r>
        <w:rPr>
          <w:rFonts w:hint="eastAsia" w:ascii="楷体" w:hAnsi="楷体" w:eastAsia="楷体" w:cs="楷体"/>
          <w:b/>
          <w:bCs/>
          <w:color w:val="auto"/>
          <w:sz w:val="32"/>
          <w:szCs w:val="32"/>
          <w:highlight w:val="none"/>
          <w:lang w:val="en-US" w:eastAsia="zh-CN"/>
        </w:rPr>
        <w:t>资金</w:t>
      </w:r>
      <w:r>
        <w:rPr>
          <w:rFonts w:hint="eastAsia" w:ascii="楷体" w:hAnsi="楷体" w:eastAsia="楷体" w:cs="楷体"/>
          <w:b/>
          <w:bCs/>
          <w:color w:val="auto"/>
          <w:sz w:val="32"/>
          <w:szCs w:val="32"/>
          <w:highlight w:val="none"/>
          <w:lang w:eastAsia="zh-CN"/>
        </w:rPr>
        <w:t>执行情况</w:t>
      </w:r>
    </w:p>
    <w:p w14:paraId="4961B2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6" w:firstLineChars="200"/>
        <w:textAlignment w:val="auto"/>
        <w:rPr>
          <w:rFonts w:ascii="仿宋_GB2312" w:hAnsi="仿宋_GB2312" w:eastAsia="仿宋_GB2312" w:cs="仿宋_GB2312"/>
          <w:b w:val="0"/>
          <w:bCs w:val="0"/>
          <w:color w:val="auto"/>
          <w:kern w:val="2"/>
          <w:sz w:val="32"/>
          <w:szCs w:val="32"/>
          <w:lang w:bidi="ar-SA"/>
        </w:rPr>
      </w:pPr>
      <w:r>
        <w:rPr>
          <w:rFonts w:ascii="仿宋_GB2312" w:hAnsi="仿宋_GB2312" w:eastAsia="仿宋_GB2312" w:cs="仿宋_GB2312"/>
          <w:b w:val="0"/>
          <w:bCs w:val="0"/>
          <w:color w:val="auto"/>
          <w:kern w:val="2"/>
          <w:sz w:val="32"/>
          <w:szCs w:val="32"/>
          <w:lang w:bidi="ar-SA"/>
        </w:rPr>
        <w:t>项目到位预算资金为300,000.00元，截至评价日，实际支出为303,462.10元（其中支付第三方公司运行维护费280,000.00元；支付污水处理厂渠道及排水管网费用23,462.10元）。财政到位预算资金执行率100</w:t>
      </w:r>
      <w:r>
        <w:rPr>
          <w:rFonts w:hint="eastAsia" w:ascii="仿宋_GB2312" w:hAnsi="仿宋_GB2312" w:eastAsia="仿宋_GB2312" w:cs="仿宋_GB2312"/>
          <w:b w:val="0"/>
          <w:bCs w:val="0"/>
          <w:color w:val="auto"/>
          <w:kern w:val="2"/>
          <w:sz w:val="32"/>
          <w:szCs w:val="32"/>
          <w:lang w:val="en-US" w:eastAsia="zh-CN" w:bidi="ar-SA"/>
        </w:rPr>
        <w:t>.00</w:t>
      </w:r>
      <w:r>
        <w:rPr>
          <w:rFonts w:ascii="仿宋_GB2312" w:hAnsi="仿宋_GB2312" w:eastAsia="仿宋_GB2312" w:cs="仿宋_GB2312"/>
          <w:b w:val="0"/>
          <w:bCs w:val="0"/>
          <w:color w:val="auto"/>
          <w:kern w:val="2"/>
          <w:sz w:val="32"/>
          <w:szCs w:val="32"/>
          <w:lang w:bidi="ar-SA"/>
        </w:rPr>
        <w:t>%，超出部分由杏林镇人民政府以其他资金补足。</w:t>
      </w:r>
      <w:r>
        <w:rPr>
          <w:rFonts w:hint="eastAsia" w:ascii="仿宋_GB2312" w:hAnsi="仿宋_GB2312" w:eastAsia="仿宋_GB2312" w:cs="仿宋_GB2312"/>
          <w:b w:val="0"/>
          <w:bCs w:val="0"/>
          <w:color w:val="auto"/>
          <w:kern w:val="2"/>
          <w:sz w:val="32"/>
          <w:szCs w:val="32"/>
          <w:lang w:val="en-US" w:eastAsia="zh-CN" w:bidi="ar-SA"/>
        </w:rPr>
        <w:t>详见表3。</w:t>
      </w:r>
    </w:p>
    <w:p w14:paraId="5D61349E">
      <w:pPr>
        <w:keepNext w:val="0"/>
        <w:keepLines w:val="0"/>
        <w:pageBreakBefore w:val="0"/>
        <w:widowControl/>
        <w:kinsoku/>
        <w:wordWrap/>
        <w:overflowPunct/>
        <w:topLinePunct w:val="0"/>
        <w:autoSpaceDE/>
        <w:autoSpaceDN/>
        <w:bidi w:val="0"/>
        <w:adjustRightInd/>
        <w:spacing w:line="560" w:lineRule="exact"/>
        <w:ind w:firstLine="566" w:firstLineChars="200"/>
        <w:jc w:val="both"/>
        <w:textAlignment w:val="auto"/>
        <w:rPr>
          <w:rFonts w:ascii="仿宋_GB2312" w:hAnsi="仿宋_GB2312" w:eastAsia="仿宋_GB2312" w:cs="仿宋_GB2312"/>
          <w:b w:val="0"/>
          <w:bCs w:val="0"/>
          <w:color w:val="auto"/>
          <w:kern w:val="2"/>
          <w:sz w:val="32"/>
          <w:szCs w:val="32"/>
          <w:lang w:bidi="ar-SA"/>
        </w:rPr>
      </w:pPr>
      <w:r>
        <w:rPr>
          <w:rFonts w:hint="eastAsia" w:ascii="仿宋_GB2312" w:hAnsi="仿宋_GB2312" w:eastAsia="仿宋_GB2312" w:cs="仿宋_GB2312"/>
          <w:b w:val="0"/>
          <w:bCs w:val="0"/>
          <w:color w:val="auto"/>
          <w:kern w:val="2"/>
          <w:sz w:val="28"/>
          <w:szCs w:val="28"/>
          <w:lang w:val="en-US" w:eastAsia="zh-CN" w:bidi="ar-SA"/>
        </w:rPr>
        <w:t>（说明：</w:t>
      </w:r>
      <w:r>
        <w:rPr>
          <w:rFonts w:ascii="仿宋_GB2312" w:hAnsi="仿宋_GB2312" w:eastAsia="仿宋_GB2312" w:cs="仿宋_GB2312"/>
          <w:b w:val="0"/>
          <w:bCs w:val="0"/>
          <w:color w:val="auto"/>
          <w:kern w:val="2"/>
          <w:sz w:val="28"/>
          <w:szCs w:val="28"/>
          <w:lang w:bidi="ar-SA"/>
        </w:rPr>
        <w:t>300,000.00元的预算资金指标在财政云系统中尚余20,000.00元</w:t>
      </w:r>
      <w:r>
        <w:rPr>
          <w:rFonts w:hint="eastAsia" w:ascii="仿宋_GB2312" w:hAnsi="仿宋_GB2312" w:eastAsia="仿宋_GB2312" w:cs="仿宋_GB2312"/>
          <w:b w:val="0"/>
          <w:bCs w:val="0"/>
          <w:color w:val="auto"/>
          <w:kern w:val="2"/>
          <w:sz w:val="28"/>
          <w:szCs w:val="28"/>
          <w:lang w:eastAsia="zh-CN" w:bidi="ar-SA"/>
        </w:rPr>
        <w:t>；</w:t>
      </w:r>
      <w:r>
        <w:rPr>
          <w:rFonts w:ascii="仿宋_GB2312" w:hAnsi="仿宋_GB2312" w:eastAsia="仿宋_GB2312" w:cs="仿宋_GB2312"/>
          <w:b w:val="0"/>
          <w:bCs w:val="0"/>
          <w:color w:val="auto"/>
          <w:kern w:val="2"/>
          <w:sz w:val="28"/>
          <w:szCs w:val="28"/>
          <w:lang w:bidi="ar-SA"/>
        </w:rPr>
        <w:t>支付污水处理厂渠道及排水管网费用的23,462.10元则由镇区污水管网建设工程补助资金指标支付。</w:t>
      </w:r>
      <w:r>
        <w:rPr>
          <w:rFonts w:hint="eastAsia" w:ascii="仿宋_GB2312" w:hAnsi="仿宋_GB2312" w:eastAsia="仿宋_GB2312" w:cs="仿宋_GB2312"/>
          <w:b w:val="0"/>
          <w:bCs w:val="0"/>
          <w:color w:val="auto"/>
          <w:kern w:val="2"/>
          <w:sz w:val="28"/>
          <w:szCs w:val="28"/>
          <w:lang w:val="en-US" w:eastAsia="zh-CN" w:bidi="ar-SA"/>
        </w:rPr>
        <w:t>）</w:t>
      </w:r>
    </w:p>
    <w:p w14:paraId="62124094">
      <w:pPr>
        <w:keepNext w:val="0"/>
        <w:keepLines w:val="0"/>
        <w:pageBreakBefore w:val="0"/>
        <w:widowControl w:val="0"/>
        <w:kinsoku/>
        <w:wordWrap/>
        <w:overflowPunct/>
        <w:topLinePunct w:val="0"/>
        <w:autoSpaceDE/>
        <w:autoSpaceDN/>
        <w:bidi w:val="0"/>
        <w:adjustRightInd/>
        <w:snapToGrid/>
        <w:spacing w:line="560" w:lineRule="exact"/>
        <w:ind w:firstLine="1415" w:firstLineChars="5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kern w:val="2"/>
          <w:sz w:val="28"/>
          <w:szCs w:val="28"/>
          <w:highlight w:val="none"/>
          <w:lang w:val="en-US" w:eastAsia="zh-CN" w:bidi="ar-SA"/>
        </w:rPr>
        <w:t xml:space="preserve">表3  项目预算资金执行情况表     </w:t>
      </w:r>
      <w:r>
        <w:rPr>
          <w:rFonts w:hint="eastAsia" w:ascii="仿宋_GB2312" w:hAnsi="仿宋_GB2312" w:eastAsia="仿宋_GB2312" w:cs="仿宋_GB2312"/>
          <w:color w:val="auto"/>
          <w:sz w:val="21"/>
          <w:szCs w:val="21"/>
          <w:highlight w:val="none"/>
          <w:lang w:val="en-US" w:eastAsia="zh-CN"/>
        </w:rPr>
        <w:t>单位：元</w:t>
      </w:r>
    </w:p>
    <w:tbl>
      <w:tblPr>
        <w:tblStyle w:val="16"/>
        <w:tblpPr w:leftFromText="181" w:rightFromText="181" w:vertAnchor="text" w:horzAnchor="page" w:tblpX="1718" w:tblpY="114"/>
        <w:tblOverlap w:val="never"/>
        <w:tblW w:w="8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619"/>
        <w:gridCol w:w="1483"/>
        <w:gridCol w:w="1429"/>
        <w:gridCol w:w="1429"/>
        <w:gridCol w:w="1144"/>
      </w:tblGrid>
      <w:tr w14:paraId="3D5A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33" w:type="dxa"/>
            <w:tcBorders>
              <w:left w:val="nil"/>
              <w:bottom w:val="single" w:color="auto" w:sz="4" w:space="0"/>
              <w:right w:val="single" w:color="auto" w:sz="4" w:space="0"/>
            </w:tcBorders>
            <w:shd w:val="clear" w:color="auto" w:fill="D7D7D7"/>
            <w:noWrap w:val="0"/>
            <w:vAlign w:val="center"/>
          </w:tcPr>
          <w:p w14:paraId="7785B696">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color w:val="auto"/>
                <w:kern w:val="2"/>
                <w:sz w:val="18"/>
                <w:szCs w:val="18"/>
                <w:highlight w:val="none"/>
                <w:vertAlign w:val="baseline"/>
                <w:lang w:val="en-US" w:eastAsia="zh-CN" w:bidi="ar-SA"/>
              </w:rPr>
            </w:pPr>
            <w:r>
              <w:rPr>
                <w:rFonts w:hint="eastAsia" w:ascii="仿宋_GB2312" w:hAnsi="仿宋_GB2312" w:eastAsia="仿宋_GB2312" w:cs="仿宋_GB2312"/>
                <w:b/>
                <w:bCs/>
                <w:color w:val="auto"/>
                <w:kern w:val="2"/>
                <w:sz w:val="18"/>
                <w:szCs w:val="18"/>
                <w:highlight w:val="none"/>
                <w:vertAlign w:val="baseline"/>
                <w:lang w:val="en-US" w:eastAsia="zh-CN" w:bidi="ar-SA"/>
              </w:rPr>
              <w:t>序号</w:t>
            </w:r>
          </w:p>
        </w:tc>
        <w:tc>
          <w:tcPr>
            <w:tcW w:w="2619" w:type="dxa"/>
            <w:tcBorders>
              <w:left w:val="single" w:color="auto" w:sz="4" w:space="0"/>
              <w:bottom w:val="single" w:color="auto" w:sz="4" w:space="0"/>
              <w:right w:val="single" w:color="auto" w:sz="4" w:space="0"/>
            </w:tcBorders>
            <w:shd w:val="clear" w:color="auto" w:fill="D7D7D7"/>
            <w:noWrap w:val="0"/>
            <w:vAlign w:val="center"/>
          </w:tcPr>
          <w:p w14:paraId="7B065723">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color w:val="auto"/>
                <w:kern w:val="2"/>
                <w:sz w:val="18"/>
                <w:szCs w:val="18"/>
                <w:highlight w:val="none"/>
                <w:vertAlign w:val="baseline"/>
                <w:lang w:val="en-US" w:eastAsia="zh-CN" w:bidi="ar-SA"/>
              </w:rPr>
            </w:pPr>
            <w:r>
              <w:rPr>
                <w:rFonts w:hint="eastAsia" w:ascii="仿宋_GB2312" w:hAnsi="仿宋_GB2312" w:eastAsia="仿宋_GB2312" w:cs="仿宋_GB2312"/>
                <w:b/>
                <w:bCs/>
                <w:color w:val="auto"/>
                <w:kern w:val="2"/>
                <w:sz w:val="18"/>
                <w:szCs w:val="18"/>
                <w:highlight w:val="none"/>
                <w:vertAlign w:val="baseline"/>
                <w:lang w:val="en-US" w:eastAsia="zh-CN" w:bidi="ar-SA"/>
              </w:rPr>
              <w:t>项目名称</w:t>
            </w:r>
          </w:p>
        </w:tc>
        <w:tc>
          <w:tcPr>
            <w:tcW w:w="1483" w:type="dxa"/>
            <w:tcBorders>
              <w:left w:val="single" w:color="auto" w:sz="4" w:space="0"/>
              <w:bottom w:val="single" w:color="auto" w:sz="4" w:space="0"/>
              <w:right w:val="single" w:color="auto" w:sz="4" w:space="0"/>
            </w:tcBorders>
            <w:shd w:val="clear" w:color="auto" w:fill="D7D7D7"/>
            <w:noWrap w:val="0"/>
            <w:vAlign w:val="center"/>
          </w:tcPr>
          <w:p w14:paraId="75ED1AE0">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b/>
                <w:bCs/>
                <w:color w:val="auto"/>
                <w:kern w:val="2"/>
                <w:sz w:val="18"/>
                <w:szCs w:val="18"/>
                <w:highlight w:val="none"/>
                <w:vertAlign w:val="baseline"/>
                <w:lang w:val="en-US" w:eastAsia="zh-CN" w:bidi="ar-SA"/>
              </w:rPr>
            </w:pPr>
            <w:r>
              <w:rPr>
                <w:rFonts w:hint="eastAsia" w:ascii="仿宋_GB2312" w:hAnsi="仿宋_GB2312" w:eastAsia="仿宋_GB2312" w:cs="仿宋_GB2312"/>
                <w:b/>
                <w:bCs/>
                <w:color w:val="auto"/>
                <w:kern w:val="2"/>
                <w:sz w:val="18"/>
                <w:szCs w:val="18"/>
                <w:highlight w:val="none"/>
                <w:vertAlign w:val="baseline"/>
                <w:lang w:val="en-US" w:eastAsia="zh-CN" w:bidi="ar-SA"/>
              </w:rPr>
              <w:t>预算到位资金</w:t>
            </w:r>
          </w:p>
        </w:tc>
        <w:tc>
          <w:tcPr>
            <w:tcW w:w="1429" w:type="dxa"/>
            <w:tcBorders>
              <w:left w:val="single" w:color="000000" w:sz="4" w:space="0"/>
              <w:bottom w:val="single" w:color="auto" w:sz="4" w:space="0"/>
              <w:right w:val="single" w:color="000000" w:sz="4" w:space="0"/>
            </w:tcBorders>
            <w:shd w:val="clear" w:color="auto" w:fill="D7D7D7"/>
            <w:noWrap w:val="0"/>
            <w:vAlign w:val="center"/>
          </w:tcPr>
          <w:p w14:paraId="665BC8EC">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color w:val="auto"/>
                <w:kern w:val="2"/>
                <w:sz w:val="18"/>
                <w:szCs w:val="18"/>
                <w:highlight w:val="none"/>
                <w:vertAlign w:val="baseline"/>
                <w:lang w:val="en-US" w:eastAsia="zh-CN" w:bidi="ar-SA"/>
              </w:rPr>
            </w:pPr>
            <w:r>
              <w:rPr>
                <w:rFonts w:hint="eastAsia" w:ascii="仿宋_GB2312" w:hAnsi="仿宋_GB2312" w:eastAsia="仿宋_GB2312" w:cs="仿宋_GB2312"/>
                <w:b/>
                <w:bCs/>
                <w:color w:val="auto"/>
                <w:kern w:val="2"/>
                <w:sz w:val="18"/>
                <w:szCs w:val="18"/>
                <w:highlight w:val="none"/>
                <w:vertAlign w:val="baseline"/>
                <w:lang w:val="en-US" w:eastAsia="zh-CN" w:bidi="ar-SA"/>
              </w:rPr>
              <w:t>实际执行资金</w:t>
            </w:r>
          </w:p>
        </w:tc>
        <w:tc>
          <w:tcPr>
            <w:tcW w:w="1429" w:type="dxa"/>
            <w:tcBorders>
              <w:left w:val="single" w:color="000000" w:sz="4" w:space="0"/>
              <w:bottom w:val="single" w:color="auto" w:sz="4" w:space="0"/>
              <w:right w:val="single" w:color="auto" w:sz="4" w:space="0"/>
            </w:tcBorders>
            <w:shd w:val="clear" w:color="auto" w:fill="D7D7D7"/>
            <w:noWrap w:val="0"/>
            <w:vAlign w:val="center"/>
          </w:tcPr>
          <w:p w14:paraId="38944404">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b/>
                <w:bCs/>
                <w:color w:val="auto"/>
                <w:kern w:val="2"/>
                <w:sz w:val="18"/>
                <w:szCs w:val="18"/>
                <w:highlight w:val="none"/>
                <w:vertAlign w:val="baseline"/>
                <w:lang w:val="en-US" w:eastAsia="zh-CN" w:bidi="ar-SA"/>
              </w:rPr>
            </w:pPr>
            <w:r>
              <w:rPr>
                <w:rFonts w:hint="eastAsia" w:ascii="仿宋_GB2312" w:hAnsi="仿宋_GB2312" w:eastAsia="仿宋_GB2312" w:cs="仿宋_GB2312"/>
                <w:b/>
                <w:bCs/>
                <w:color w:val="auto"/>
                <w:kern w:val="2"/>
                <w:sz w:val="18"/>
                <w:szCs w:val="18"/>
                <w:highlight w:val="none"/>
                <w:vertAlign w:val="baseline"/>
                <w:lang w:val="en-US" w:eastAsia="zh-CN" w:bidi="ar-SA"/>
              </w:rPr>
              <w:t>实际支出金额超出预算金额</w:t>
            </w:r>
          </w:p>
        </w:tc>
        <w:tc>
          <w:tcPr>
            <w:tcW w:w="1144" w:type="dxa"/>
            <w:tcBorders>
              <w:left w:val="single" w:color="auto" w:sz="4" w:space="0"/>
              <w:bottom w:val="single" w:color="auto" w:sz="4" w:space="0"/>
              <w:right w:val="nil"/>
            </w:tcBorders>
            <w:shd w:val="clear" w:color="auto" w:fill="D7D7D7"/>
            <w:noWrap w:val="0"/>
            <w:vAlign w:val="center"/>
          </w:tcPr>
          <w:p w14:paraId="731C13C7">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color w:val="auto"/>
                <w:kern w:val="2"/>
                <w:sz w:val="18"/>
                <w:szCs w:val="18"/>
                <w:highlight w:val="none"/>
                <w:vertAlign w:val="baseline"/>
                <w:lang w:val="en-US" w:eastAsia="zh-CN" w:bidi="ar-SA"/>
              </w:rPr>
            </w:pPr>
            <w:r>
              <w:rPr>
                <w:rFonts w:hint="eastAsia" w:ascii="仿宋_GB2312" w:hAnsi="仿宋_GB2312" w:eastAsia="仿宋_GB2312" w:cs="仿宋_GB2312"/>
                <w:b/>
                <w:bCs/>
                <w:color w:val="auto"/>
                <w:kern w:val="2"/>
                <w:sz w:val="18"/>
                <w:szCs w:val="18"/>
                <w:highlight w:val="none"/>
                <w:vertAlign w:val="baseline"/>
                <w:lang w:val="en-US" w:eastAsia="zh-CN" w:bidi="ar-SA"/>
              </w:rPr>
              <w:t>预算执行率</w:t>
            </w:r>
          </w:p>
        </w:tc>
      </w:tr>
      <w:tr w14:paraId="6FD6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33" w:type="dxa"/>
            <w:tcBorders>
              <w:top w:val="single" w:color="auto" w:sz="4" w:space="0"/>
              <w:left w:val="nil"/>
              <w:bottom w:val="single" w:color="auto" w:sz="4" w:space="0"/>
              <w:right w:val="single" w:color="auto" w:sz="4" w:space="0"/>
            </w:tcBorders>
            <w:noWrap w:val="0"/>
            <w:vAlign w:val="center"/>
          </w:tcPr>
          <w:p w14:paraId="282D674E">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color w:val="auto"/>
                <w:kern w:val="2"/>
                <w:sz w:val="18"/>
                <w:szCs w:val="18"/>
                <w:highlight w:val="none"/>
                <w:vertAlign w:val="baseline"/>
                <w:lang w:val="en-US" w:eastAsia="zh-CN" w:bidi="ar-SA"/>
              </w:rPr>
            </w:pPr>
            <w:r>
              <w:rPr>
                <w:rFonts w:hint="eastAsia" w:ascii="仿宋_GB2312" w:hAnsi="仿宋_GB2312" w:eastAsia="仿宋_GB2312" w:cs="仿宋_GB2312"/>
                <w:b w:val="0"/>
                <w:bCs w:val="0"/>
                <w:color w:val="auto"/>
                <w:kern w:val="2"/>
                <w:sz w:val="18"/>
                <w:szCs w:val="18"/>
                <w:highlight w:val="none"/>
                <w:vertAlign w:val="baseline"/>
                <w:lang w:val="en-US" w:eastAsia="zh-CN" w:bidi="ar-SA"/>
              </w:rPr>
              <w:t>1</w:t>
            </w:r>
          </w:p>
        </w:tc>
        <w:tc>
          <w:tcPr>
            <w:tcW w:w="2619" w:type="dxa"/>
            <w:tcBorders>
              <w:top w:val="single" w:color="auto" w:sz="4" w:space="0"/>
              <w:left w:val="single" w:color="auto" w:sz="4" w:space="0"/>
              <w:bottom w:val="single" w:color="auto" w:sz="4" w:space="0"/>
              <w:right w:val="single" w:color="auto" w:sz="4" w:space="0"/>
            </w:tcBorders>
            <w:noWrap w:val="0"/>
            <w:vAlign w:val="center"/>
          </w:tcPr>
          <w:p w14:paraId="036917A1">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color w:val="auto"/>
                <w:kern w:val="2"/>
                <w:sz w:val="18"/>
                <w:szCs w:val="18"/>
                <w:highlight w:val="none"/>
                <w:vertAlign w:val="baseline"/>
                <w:lang w:val="en-US" w:eastAsia="zh-CN" w:bidi="ar-SA"/>
              </w:rPr>
            </w:pPr>
            <w:r>
              <w:rPr>
                <w:rFonts w:hint="eastAsia" w:ascii="仿宋_GB2312" w:hAnsi="仿宋_GB2312" w:eastAsia="仿宋_GB2312" w:cs="仿宋_GB2312"/>
                <w:sz w:val="18"/>
                <w:szCs w:val="18"/>
                <w:lang w:val="en-US" w:eastAsia="zh-CN"/>
              </w:rPr>
              <w:t>2024年扶风县杏林镇污水处理厂运行补助资金项目</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4A3F5AFB">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300,000.00</w:t>
            </w:r>
          </w:p>
        </w:tc>
        <w:tc>
          <w:tcPr>
            <w:tcW w:w="1429" w:type="dxa"/>
            <w:tcBorders>
              <w:top w:val="single" w:color="auto" w:sz="4" w:space="0"/>
              <w:left w:val="single" w:color="000000" w:sz="4" w:space="0"/>
              <w:bottom w:val="single" w:color="auto" w:sz="4" w:space="0"/>
              <w:right w:val="single" w:color="000000" w:sz="4" w:space="0"/>
            </w:tcBorders>
            <w:noWrap w:val="0"/>
            <w:vAlign w:val="center"/>
          </w:tcPr>
          <w:p w14:paraId="232D8C94">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303,462.10</w:t>
            </w:r>
          </w:p>
        </w:tc>
        <w:tc>
          <w:tcPr>
            <w:tcW w:w="1429" w:type="dxa"/>
            <w:tcBorders>
              <w:top w:val="single" w:color="auto" w:sz="4" w:space="0"/>
              <w:left w:val="single" w:color="000000" w:sz="4" w:space="0"/>
              <w:bottom w:val="single" w:color="auto" w:sz="4" w:space="0"/>
              <w:right w:val="single" w:color="auto" w:sz="4" w:space="0"/>
            </w:tcBorders>
            <w:noWrap w:val="0"/>
            <w:vAlign w:val="center"/>
          </w:tcPr>
          <w:p w14:paraId="49EE0EF0">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3,462.10</w:t>
            </w:r>
          </w:p>
        </w:tc>
        <w:tc>
          <w:tcPr>
            <w:tcW w:w="1144" w:type="dxa"/>
            <w:tcBorders>
              <w:top w:val="single" w:color="auto" w:sz="4" w:space="0"/>
              <w:left w:val="single" w:color="auto" w:sz="4" w:space="0"/>
              <w:bottom w:val="single" w:color="auto" w:sz="4" w:space="0"/>
              <w:right w:val="nil"/>
            </w:tcBorders>
            <w:noWrap w:val="0"/>
            <w:vAlign w:val="center"/>
          </w:tcPr>
          <w:p w14:paraId="15A7F423">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color w:val="auto"/>
                <w:kern w:val="2"/>
                <w:sz w:val="18"/>
                <w:szCs w:val="18"/>
                <w:highlight w:val="none"/>
                <w:vertAlign w:val="baseline"/>
                <w:lang w:val="en-US" w:eastAsia="zh-CN" w:bidi="ar-SA"/>
              </w:rPr>
            </w:pPr>
            <w:r>
              <w:rPr>
                <w:rFonts w:hint="eastAsia" w:ascii="仿宋_GB2312" w:hAnsi="仿宋_GB2312" w:eastAsia="仿宋_GB2312" w:cs="仿宋_GB2312"/>
                <w:b w:val="0"/>
                <w:bCs w:val="0"/>
                <w:color w:val="auto"/>
                <w:kern w:val="2"/>
                <w:sz w:val="18"/>
                <w:szCs w:val="18"/>
                <w:highlight w:val="none"/>
                <w:vertAlign w:val="baseline"/>
                <w:lang w:val="en-US" w:eastAsia="zh-CN" w:bidi="ar-SA"/>
              </w:rPr>
              <w:t>100.00%</w:t>
            </w:r>
          </w:p>
        </w:tc>
      </w:tr>
      <w:tr w14:paraId="7832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252" w:type="dxa"/>
            <w:gridSpan w:val="2"/>
            <w:tcBorders>
              <w:top w:val="single" w:color="auto" w:sz="4" w:space="0"/>
              <w:left w:val="nil"/>
              <w:bottom w:val="single" w:color="auto" w:sz="4" w:space="0"/>
              <w:right w:val="single" w:color="auto" w:sz="4" w:space="0"/>
            </w:tcBorders>
            <w:noWrap w:val="0"/>
            <w:vAlign w:val="center"/>
          </w:tcPr>
          <w:p w14:paraId="3495771C">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color w:val="auto"/>
                <w:kern w:val="2"/>
                <w:sz w:val="18"/>
                <w:szCs w:val="18"/>
                <w:highlight w:val="none"/>
                <w:vertAlign w:val="baseline"/>
                <w:lang w:val="en-US" w:eastAsia="zh-CN" w:bidi="ar-SA"/>
              </w:rPr>
            </w:pPr>
            <w:r>
              <w:rPr>
                <w:rFonts w:hint="eastAsia" w:ascii="仿宋_GB2312" w:hAnsi="仿宋_GB2312" w:eastAsia="仿宋_GB2312" w:cs="仿宋_GB2312"/>
                <w:b/>
                <w:bCs/>
                <w:color w:val="auto"/>
                <w:kern w:val="2"/>
                <w:sz w:val="18"/>
                <w:szCs w:val="18"/>
                <w:highlight w:val="none"/>
                <w:vertAlign w:val="baseline"/>
                <w:lang w:val="en-US" w:eastAsia="zh-CN" w:bidi="ar-SA"/>
              </w:rPr>
              <w:t>合计</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1096A1D0">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300,000.00</w:t>
            </w:r>
          </w:p>
        </w:tc>
        <w:tc>
          <w:tcPr>
            <w:tcW w:w="1429" w:type="dxa"/>
            <w:tcBorders>
              <w:top w:val="single" w:color="auto" w:sz="4" w:space="0"/>
              <w:left w:val="single" w:color="000000" w:sz="4" w:space="0"/>
              <w:bottom w:val="single" w:color="auto" w:sz="4" w:space="0"/>
              <w:right w:val="single" w:color="000000" w:sz="4" w:space="0"/>
            </w:tcBorders>
            <w:noWrap w:val="0"/>
            <w:vAlign w:val="center"/>
          </w:tcPr>
          <w:p w14:paraId="2FFA822F">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303,462.10</w:t>
            </w:r>
          </w:p>
        </w:tc>
        <w:tc>
          <w:tcPr>
            <w:tcW w:w="1429" w:type="dxa"/>
            <w:tcBorders>
              <w:top w:val="single" w:color="auto" w:sz="4" w:space="0"/>
              <w:left w:val="single" w:color="000000" w:sz="4" w:space="0"/>
              <w:bottom w:val="single" w:color="auto" w:sz="4" w:space="0"/>
              <w:right w:val="single" w:color="auto" w:sz="4" w:space="0"/>
            </w:tcBorders>
            <w:noWrap w:val="0"/>
            <w:vAlign w:val="center"/>
          </w:tcPr>
          <w:p w14:paraId="378488C7">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3,462.10</w:t>
            </w:r>
          </w:p>
        </w:tc>
        <w:tc>
          <w:tcPr>
            <w:tcW w:w="1144" w:type="dxa"/>
            <w:tcBorders>
              <w:top w:val="single" w:color="auto" w:sz="4" w:space="0"/>
              <w:left w:val="single" w:color="auto" w:sz="4" w:space="0"/>
              <w:bottom w:val="single" w:color="auto" w:sz="4" w:space="0"/>
              <w:right w:val="nil"/>
            </w:tcBorders>
            <w:noWrap w:val="0"/>
            <w:vAlign w:val="center"/>
          </w:tcPr>
          <w:p w14:paraId="51F54199">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color w:val="auto"/>
                <w:kern w:val="2"/>
                <w:sz w:val="18"/>
                <w:szCs w:val="18"/>
                <w:highlight w:val="none"/>
                <w:vertAlign w:val="baseline"/>
                <w:lang w:val="en-US" w:eastAsia="zh-CN" w:bidi="ar-SA"/>
              </w:rPr>
            </w:pPr>
            <w:r>
              <w:rPr>
                <w:rFonts w:hint="eastAsia" w:ascii="仿宋_GB2312" w:hAnsi="仿宋_GB2312" w:eastAsia="仿宋_GB2312" w:cs="仿宋_GB2312"/>
                <w:b w:val="0"/>
                <w:bCs w:val="0"/>
                <w:color w:val="auto"/>
                <w:kern w:val="2"/>
                <w:sz w:val="18"/>
                <w:szCs w:val="18"/>
                <w:highlight w:val="none"/>
                <w:vertAlign w:val="baseline"/>
                <w:lang w:val="en-US" w:eastAsia="zh-CN" w:bidi="ar-SA"/>
              </w:rPr>
              <w:t>100.00%</w:t>
            </w:r>
          </w:p>
        </w:tc>
      </w:tr>
    </w:tbl>
    <w:p w14:paraId="072A4FCD">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（五）项目实施及绩效目标完成情况</w:t>
      </w:r>
    </w:p>
    <w:p w14:paraId="2CEC5250">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jc w:val="both"/>
        <w:textAlignment w:val="auto"/>
        <w:rPr>
          <w:rFonts w:ascii="仿宋_GB2312" w:hAnsi="仿宋_GB2312" w:eastAsia="仿宋_GB2312" w:cs="仿宋_GB2312"/>
          <w:b w:val="0"/>
          <w:bCs w:val="0"/>
          <w:color w:val="auto"/>
          <w:kern w:val="2"/>
          <w:sz w:val="32"/>
          <w:szCs w:val="32"/>
          <w:lang w:bidi="ar-SA"/>
        </w:rPr>
      </w:pPr>
      <w:r>
        <w:rPr>
          <w:rFonts w:ascii="仿宋_GB2312" w:hAnsi="仿宋_GB2312" w:eastAsia="仿宋_GB2312" w:cs="仿宋_GB2312"/>
          <w:b w:val="0"/>
          <w:bCs w:val="0"/>
          <w:color w:val="auto"/>
          <w:kern w:val="2"/>
          <w:sz w:val="32"/>
          <w:szCs w:val="32"/>
          <w:lang w:bidi="ar-SA"/>
        </w:rPr>
        <w:t>20</w:t>
      </w:r>
      <w:r>
        <w:rPr>
          <w:rFonts w:hint="eastAsia" w:ascii="仿宋_GB2312" w:hAnsi="仿宋_GB2312" w:eastAsia="仿宋_GB2312" w:cs="仿宋_GB2312"/>
          <w:b w:val="0"/>
          <w:bCs w:val="0"/>
          <w:color w:val="auto"/>
          <w:kern w:val="2"/>
          <w:sz w:val="32"/>
          <w:szCs w:val="32"/>
          <w:lang w:val="en-US" w:eastAsia="zh-CN" w:bidi="ar-SA"/>
        </w:rPr>
        <w:t>2</w:t>
      </w:r>
      <w:r>
        <w:rPr>
          <w:rFonts w:ascii="仿宋_GB2312" w:hAnsi="仿宋_GB2312" w:eastAsia="仿宋_GB2312" w:cs="仿宋_GB2312"/>
          <w:b w:val="0"/>
          <w:bCs w:val="0"/>
          <w:color w:val="auto"/>
          <w:kern w:val="2"/>
          <w:sz w:val="32"/>
          <w:szCs w:val="32"/>
          <w:lang w:bidi="ar-SA"/>
        </w:rPr>
        <w:t>3年6月28日，扶风县杏林镇人民政府通过竞争性磋商方式选定项目运营维护单位——西安弘德途环保科技有限公司，成交价格为25.50万元，服务期限为一年。双方于2023年7月13日签订了服务合同，合同期限为2023年7月13日至2024年7月12日。合同中约定：“项目运营为首年试运行，实际运营费用及运营企业25%的利润需依据后期审计结果确定，可据此调整总承包费用”。</w:t>
      </w:r>
      <w:r>
        <w:rPr>
          <w:rFonts w:hint="eastAsia" w:ascii="仿宋_GB2312" w:hAnsi="仿宋_GB2312" w:eastAsia="仿宋_GB2312" w:cs="仿宋_GB2312"/>
          <w:b w:val="0"/>
          <w:bCs w:val="0"/>
          <w:color w:val="auto"/>
          <w:kern w:val="2"/>
          <w:sz w:val="32"/>
          <w:szCs w:val="32"/>
          <w:lang w:val="en-US" w:eastAsia="zh-CN" w:bidi="ar-SA"/>
        </w:rPr>
        <w:t>2024年5月，</w:t>
      </w:r>
      <w:r>
        <w:rPr>
          <w:rFonts w:ascii="仿宋_GB2312" w:hAnsi="仿宋_GB2312" w:eastAsia="仿宋_GB2312" w:cs="仿宋_GB2312"/>
          <w:b w:val="0"/>
          <w:bCs w:val="0"/>
          <w:color w:val="auto"/>
          <w:kern w:val="2"/>
          <w:sz w:val="32"/>
          <w:szCs w:val="32"/>
          <w:lang w:bidi="ar-SA"/>
        </w:rPr>
        <w:t>扶风县杏林镇人民政府委托第三方审计机构——陕西天钲雍兴会计师事务所（普通合伙），对西安弘德途环保科技有限公司承包的扶风县杏林污水处理厂2023年7月至2024年4月的运营成本进行审核。经审核，10个月的运营成本共计245,006.18元。</w:t>
      </w:r>
    </w:p>
    <w:p w14:paraId="12CB4E1B">
      <w:pPr>
        <w:keepNext w:val="0"/>
        <w:keepLines w:val="0"/>
        <w:pageBreakBefore w:val="0"/>
        <w:widowControl w:val="0"/>
        <w:kinsoku/>
        <w:wordWrap/>
        <w:overflowPunct/>
        <w:topLinePunct w:val="0"/>
        <w:autoSpaceDE/>
        <w:autoSpaceDN/>
        <w:bidi w:val="0"/>
        <w:adjustRightInd/>
        <w:spacing w:line="560" w:lineRule="exact"/>
        <w:ind w:left="0" w:leftChars="0" w:firstLine="646" w:firstLineChars="200"/>
        <w:jc w:val="both"/>
        <w:textAlignment w:val="auto"/>
        <w:rPr>
          <w:rFonts w:hint="eastAsia" w:ascii="仿宋_GB2312" w:hAnsi="Calibri" w:eastAsia="仿宋_GB2312" w:cs="仿宋_GB2312"/>
          <w:b/>
          <w:bCs/>
          <w:color w:val="auto"/>
          <w:kern w:val="2"/>
          <w:sz w:val="28"/>
          <w:szCs w:val="28"/>
          <w:highlight w:val="none"/>
          <w:lang w:val="en-US" w:eastAsia="zh-CN" w:bidi="ar-SA"/>
        </w:rPr>
      </w:pPr>
      <w:r>
        <w:rPr>
          <w:rFonts w:ascii="仿宋_GB2312" w:hAnsi="仿宋_GB2312" w:eastAsia="仿宋_GB2312" w:cs="仿宋_GB2312"/>
          <w:b w:val="0"/>
          <w:bCs w:val="0"/>
          <w:color w:val="auto"/>
          <w:kern w:val="2"/>
          <w:sz w:val="32"/>
          <w:szCs w:val="32"/>
          <w:lang w:bidi="ar-SA"/>
        </w:rPr>
        <w:t>2024年7月13日，扶风县杏林镇人民政府与西安弘德途环保科技有限公司续签了服务合同，合同期限为2024年7月13日至2025年7月12日，合同价格为28.00万元（合同中说明：根据2023年试运行及审计情况，经双方协商，承包费用由上年度的25.50万元调整至28.00万元）。</w:t>
      </w:r>
      <w:r>
        <w:rPr>
          <w:rFonts w:hint="eastAsia" w:ascii="仿宋_GB2312" w:hAnsi="仿宋_GB2312" w:eastAsia="仿宋_GB2312" w:cs="仿宋_GB2312"/>
          <w:color w:val="auto"/>
          <w:kern w:val="2"/>
          <w:sz w:val="32"/>
          <w:szCs w:val="32"/>
          <w:highlight w:val="none"/>
          <w:lang w:val="en-US" w:eastAsia="zh-CN" w:bidi="ar-SA"/>
        </w:rPr>
        <w:t>项目主要绩效目标完成情况详见表4。</w:t>
      </w:r>
    </w:p>
    <w:p w14:paraId="1370F9C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kern w:val="2"/>
          <w:sz w:val="28"/>
          <w:szCs w:val="28"/>
          <w:highlight w:val="none"/>
          <w:lang w:val="en-US" w:eastAsia="zh-CN" w:bidi="ar-SA"/>
        </w:rPr>
        <w:t xml:space="preserve">表4 </w:t>
      </w:r>
      <w:r>
        <w:rPr>
          <w:rFonts w:hint="eastAsia" w:ascii="仿宋_GB2312" w:hAnsi="仿宋_GB2312" w:eastAsia="仿宋_GB2312" w:cs="仿宋_GB2312"/>
          <w:b/>
          <w:bCs/>
          <w:sz w:val="28"/>
          <w:szCs w:val="28"/>
          <w:lang w:val="en-US" w:eastAsia="zh-CN"/>
        </w:rPr>
        <w:t xml:space="preserve"> 项目</w:t>
      </w:r>
      <w:r>
        <w:rPr>
          <w:rFonts w:hint="eastAsia" w:ascii="仿宋_GB2312" w:hAnsi="仿宋_GB2312" w:eastAsia="仿宋_GB2312" w:cs="仿宋_GB2312"/>
          <w:b/>
          <w:bCs/>
          <w:color w:val="auto"/>
          <w:sz w:val="28"/>
          <w:szCs w:val="28"/>
          <w:lang w:val="en-US" w:eastAsia="zh-CN"/>
        </w:rPr>
        <w:t>绩效目标任务完成情况表</w:t>
      </w:r>
    </w:p>
    <w:tbl>
      <w:tblPr>
        <w:tblStyle w:val="16"/>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528"/>
        <w:gridCol w:w="2869"/>
        <w:gridCol w:w="1287"/>
        <w:gridCol w:w="1669"/>
        <w:gridCol w:w="654"/>
      </w:tblGrid>
      <w:tr w14:paraId="5516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blHeader/>
          <w:jc w:val="center"/>
        </w:trPr>
        <w:tc>
          <w:tcPr>
            <w:tcW w:w="1083" w:type="dxa"/>
            <w:vMerge w:val="restart"/>
            <w:tcBorders>
              <w:left w:val="nil"/>
            </w:tcBorders>
            <w:shd w:val="clear" w:color="auto" w:fill="D7D7D7"/>
            <w:noWrap w:val="0"/>
            <w:vAlign w:val="center"/>
          </w:tcPr>
          <w:p w14:paraId="368546F9">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sz w:val="21"/>
                <w:szCs w:val="21"/>
                <w:highlight w:val="none"/>
                <w:vertAlign w:val="baseline"/>
                <w:lang w:val="en-US" w:eastAsia="zh-CN"/>
              </w:rPr>
              <w:t>一级指标</w:t>
            </w:r>
          </w:p>
        </w:tc>
        <w:tc>
          <w:tcPr>
            <w:tcW w:w="1528" w:type="dxa"/>
            <w:vMerge w:val="restart"/>
            <w:shd w:val="clear" w:color="auto" w:fill="D7D7D7"/>
            <w:noWrap w:val="0"/>
            <w:vAlign w:val="center"/>
          </w:tcPr>
          <w:p w14:paraId="4410BF05">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二级指标</w:t>
            </w:r>
          </w:p>
        </w:tc>
        <w:tc>
          <w:tcPr>
            <w:tcW w:w="2869" w:type="dxa"/>
            <w:vMerge w:val="restart"/>
            <w:shd w:val="clear" w:color="auto" w:fill="D7D7D7"/>
            <w:noWrap w:val="0"/>
            <w:vAlign w:val="center"/>
          </w:tcPr>
          <w:p w14:paraId="492D8CCA">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三级指标</w:t>
            </w:r>
          </w:p>
        </w:tc>
        <w:tc>
          <w:tcPr>
            <w:tcW w:w="1287" w:type="dxa"/>
            <w:vMerge w:val="restart"/>
            <w:shd w:val="clear" w:color="auto" w:fill="D7D7D7"/>
            <w:noWrap w:val="0"/>
            <w:vAlign w:val="center"/>
          </w:tcPr>
          <w:p w14:paraId="081839C4">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目标值</w:t>
            </w:r>
          </w:p>
        </w:tc>
        <w:tc>
          <w:tcPr>
            <w:tcW w:w="1669" w:type="dxa"/>
            <w:vMerge w:val="restart"/>
            <w:shd w:val="clear" w:color="auto" w:fill="D7D7D7"/>
            <w:noWrap w:val="0"/>
            <w:vAlign w:val="center"/>
          </w:tcPr>
          <w:p w14:paraId="405EA82C">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完成值</w:t>
            </w:r>
          </w:p>
        </w:tc>
        <w:tc>
          <w:tcPr>
            <w:tcW w:w="654" w:type="dxa"/>
            <w:vMerge w:val="restart"/>
            <w:tcBorders>
              <w:right w:val="nil"/>
            </w:tcBorders>
            <w:shd w:val="clear" w:color="auto" w:fill="D7D7D7"/>
            <w:noWrap w:val="0"/>
            <w:vAlign w:val="center"/>
          </w:tcPr>
          <w:p w14:paraId="15B85D79">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完成情况</w:t>
            </w:r>
          </w:p>
        </w:tc>
      </w:tr>
      <w:tr w14:paraId="3EAF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83" w:type="dxa"/>
            <w:vMerge w:val="continue"/>
            <w:tcBorders>
              <w:left w:val="nil"/>
            </w:tcBorders>
            <w:shd w:val="clear" w:color="auto" w:fill="D7D7D7"/>
            <w:noWrap w:val="0"/>
            <w:vAlign w:val="center"/>
          </w:tcPr>
          <w:p w14:paraId="370A17A0">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528" w:type="dxa"/>
            <w:vMerge w:val="continue"/>
            <w:shd w:val="clear" w:color="auto" w:fill="D7D7D7"/>
            <w:noWrap w:val="0"/>
            <w:vAlign w:val="center"/>
          </w:tcPr>
          <w:p w14:paraId="13F3C831">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869" w:type="dxa"/>
            <w:vMerge w:val="continue"/>
            <w:shd w:val="clear" w:color="auto" w:fill="D7D7D7"/>
            <w:noWrap w:val="0"/>
            <w:vAlign w:val="center"/>
          </w:tcPr>
          <w:p w14:paraId="4D59736E">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287" w:type="dxa"/>
            <w:vMerge w:val="continue"/>
            <w:shd w:val="clear" w:color="auto" w:fill="D7D7D7"/>
            <w:noWrap w:val="0"/>
            <w:vAlign w:val="center"/>
          </w:tcPr>
          <w:p w14:paraId="64EE2C11">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1669" w:type="dxa"/>
            <w:vMerge w:val="continue"/>
            <w:shd w:val="clear" w:color="auto" w:fill="D7D7D7"/>
            <w:noWrap w:val="0"/>
            <w:vAlign w:val="center"/>
          </w:tcPr>
          <w:p w14:paraId="78DC2C47">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654" w:type="dxa"/>
            <w:vMerge w:val="continue"/>
            <w:tcBorders>
              <w:right w:val="nil"/>
            </w:tcBorders>
            <w:shd w:val="clear" w:color="auto" w:fill="D7D7D7"/>
            <w:noWrap w:val="0"/>
            <w:vAlign w:val="center"/>
          </w:tcPr>
          <w:p w14:paraId="792EAC66">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highlight w:val="none"/>
                <w:vertAlign w:val="baseline"/>
                <w:lang w:val="en-US" w:eastAsia="zh-CN"/>
              </w:rPr>
            </w:pPr>
          </w:p>
        </w:tc>
      </w:tr>
      <w:tr w14:paraId="6275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83" w:type="dxa"/>
            <w:tcBorders>
              <w:left w:val="nil"/>
            </w:tcBorders>
            <w:shd w:val="clear" w:color="auto" w:fill="auto"/>
            <w:noWrap w:val="0"/>
            <w:vAlign w:val="center"/>
          </w:tcPr>
          <w:p w14:paraId="1888B979">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成本指标</w:t>
            </w:r>
          </w:p>
        </w:tc>
        <w:tc>
          <w:tcPr>
            <w:tcW w:w="1528" w:type="dxa"/>
            <w:shd w:val="clear" w:color="auto" w:fill="auto"/>
            <w:noWrap w:val="0"/>
            <w:vAlign w:val="center"/>
          </w:tcPr>
          <w:p w14:paraId="3060497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经济成本指标</w:t>
            </w:r>
          </w:p>
        </w:tc>
        <w:tc>
          <w:tcPr>
            <w:tcW w:w="2869" w:type="dxa"/>
            <w:shd w:val="clear" w:color="auto" w:fill="auto"/>
            <w:noWrap w:val="0"/>
            <w:vAlign w:val="center"/>
          </w:tcPr>
          <w:p w14:paraId="62F92CA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项目投入资金总额（万元）</w:t>
            </w:r>
          </w:p>
        </w:tc>
        <w:tc>
          <w:tcPr>
            <w:tcW w:w="1287" w:type="dxa"/>
            <w:shd w:val="clear" w:color="auto" w:fill="auto"/>
            <w:noWrap w:val="0"/>
            <w:vAlign w:val="center"/>
          </w:tcPr>
          <w:p w14:paraId="5BF810E1">
            <w:pPr>
              <w:pStyle w:val="9"/>
              <w:keepNext w:val="0"/>
              <w:keepLines w:val="0"/>
              <w:pageBreakBefore w:val="0"/>
              <w:kinsoku/>
              <w:wordWrap/>
              <w:overflowPunct/>
              <w:topLinePunct w:val="0"/>
              <w:autoSpaceDE/>
              <w:autoSpaceDN/>
              <w:bidi w:val="0"/>
              <w:adjustRightInd/>
              <w:snapToGrid/>
              <w:spacing w:line="240" w:lineRule="auto"/>
              <w:jc w:val="center"/>
              <w:rPr>
                <w:rFonts w:hint="default"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spacing w:val="-17"/>
                <w:sz w:val="21"/>
                <w:szCs w:val="21"/>
                <w:highlight w:val="none"/>
                <w:vertAlign w:val="baseline"/>
                <w:lang w:val="en-US" w:eastAsia="zh-CN"/>
              </w:rPr>
              <w:t>≤30</w:t>
            </w:r>
          </w:p>
        </w:tc>
        <w:tc>
          <w:tcPr>
            <w:tcW w:w="1669" w:type="dxa"/>
            <w:shd w:val="clear" w:color="auto" w:fill="auto"/>
            <w:noWrap w:val="0"/>
            <w:vAlign w:val="center"/>
          </w:tcPr>
          <w:p w14:paraId="4B115F97">
            <w:pPr>
              <w:pStyle w:val="9"/>
              <w:keepNext w:val="0"/>
              <w:keepLines w:val="0"/>
              <w:pageBreakBefore w:val="0"/>
              <w:kinsoku/>
              <w:wordWrap/>
              <w:overflowPunct/>
              <w:topLinePunct w:val="0"/>
              <w:autoSpaceDE/>
              <w:autoSpaceDN/>
              <w:bidi w:val="0"/>
              <w:adjustRightInd/>
              <w:snapToGrid/>
              <w:spacing w:line="240" w:lineRule="auto"/>
              <w:jc w:val="center"/>
              <w:rPr>
                <w:rFonts w:hint="default" w:ascii="仿宋_GB2312" w:hAnsi="仿宋_GB2312" w:eastAsia="仿宋_GB2312" w:cs="仿宋_GB2312"/>
                <w:color w:val="000000"/>
                <w:spacing w:val="-6"/>
                <w:kern w:val="2"/>
                <w:sz w:val="21"/>
                <w:szCs w:val="21"/>
                <w:highlight w:val="none"/>
                <w:lang w:val="en-US" w:eastAsia="zh-CN" w:bidi="ar-SA"/>
              </w:rPr>
            </w:pPr>
            <w:r>
              <w:rPr>
                <w:rFonts w:hint="eastAsia" w:ascii="仿宋_GB2312" w:hAnsi="仿宋_GB2312" w:eastAsia="仿宋_GB2312" w:cs="仿宋_GB2312"/>
                <w:color w:val="auto"/>
                <w:spacing w:val="-17"/>
                <w:sz w:val="21"/>
                <w:szCs w:val="21"/>
                <w:highlight w:val="none"/>
                <w:vertAlign w:val="baseline"/>
                <w:lang w:val="en-US" w:eastAsia="zh-CN"/>
              </w:rPr>
              <w:t>30.34621</w:t>
            </w:r>
          </w:p>
        </w:tc>
        <w:tc>
          <w:tcPr>
            <w:tcW w:w="654" w:type="dxa"/>
            <w:tcBorders>
              <w:right w:val="nil"/>
            </w:tcBorders>
            <w:noWrap w:val="0"/>
            <w:vAlign w:val="center"/>
          </w:tcPr>
          <w:p w14:paraId="44386AB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2131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83" w:type="dxa"/>
            <w:vMerge w:val="restart"/>
            <w:tcBorders>
              <w:left w:val="nil"/>
            </w:tcBorders>
            <w:noWrap w:val="0"/>
            <w:vAlign w:val="center"/>
          </w:tcPr>
          <w:p w14:paraId="4A36A5A8">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产出指标</w:t>
            </w:r>
          </w:p>
        </w:tc>
        <w:tc>
          <w:tcPr>
            <w:tcW w:w="1528" w:type="dxa"/>
            <w:noWrap w:val="0"/>
            <w:vAlign w:val="center"/>
          </w:tcPr>
          <w:p w14:paraId="055859A6">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数量指标</w:t>
            </w:r>
          </w:p>
        </w:tc>
        <w:tc>
          <w:tcPr>
            <w:tcW w:w="2869" w:type="dxa"/>
            <w:noWrap w:val="0"/>
            <w:vAlign w:val="center"/>
          </w:tcPr>
          <w:p w14:paraId="0329681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color w:val="auto"/>
                <w:kern w:val="2"/>
                <w:sz w:val="21"/>
                <w:szCs w:val="21"/>
                <w:highlight w:val="none"/>
                <w:vertAlign w:val="baseline"/>
                <w:lang w:val="en-US" w:eastAsia="zh-CN" w:bidi="ar-SA"/>
              </w:rPr>
              <w:t>委托专业公司负责杏林镇污水处理厂的运营与维护工作</w:t>
            </w:r>
          </w:p>
        </w:tc>
        <w:tc>
          <w:tcPr>
            <w:tcW w:w="1287" w:type="dxa"/>
            <w:noWrap w:val="0"/>
            <w:vAlign w:val="center"/>
          </w:tcPr>
          <w:p w14:paraId="3ECBA23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服务期限</w:t>
            </w:r>
          </w:p>
          <w:p w14:paraId="1FA06FF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一年</w:t>
            </w:r>
          </w:p>
        </w:tc>
        <w:tc>
          <w:tcPr>
            <w:tcW w:w="1669" w:type="dxa"/>
            <w:noWrap w:val="0"/>
            <w:vAlign w:val="center"/>
          </w:tcPr>
          <w:p w14:paraId="1487DC4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服务期限</w:t>
            </w:r>
          </w:p>
          <w:p w14:paraId="6B014A7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一年</w:t>
            </w:r>
          </w:p>
        </w:tc>
        <w:tc>
          <w:tcPr>
            <w:tcW w:w="654" w:type="dxa"/>
            <w:tcBorders>
              <w:right w:val="nil"/>
            </w:tcBorders>
            <w:noWrap w:val="0"/>
            <w:vAlign w:val="center"/>
          </w:tcPr>
          <w:p w14:paraId="56D1B93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3073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83" w:type="dxa"/>
            <w:vMerge w:val="continue"/>
            <w:tcBorders>
              <w:left w:val="nil"/>
            </w:tcBorders>
            <w:noWrap w:val="0"/>
            <w:vAlign w:val="center"/>
          </w:tcPr>
          <w:p w14:paraId="339BFC0B">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528" w:type="dxa"/>
            <w:noWrap w:val="0"/>
            <w:vAlign w:val="center"/>
          </w:tcPr>
          <w:p w14:paraId="22CE8BFF">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质量指标</w:t>
            </w:r>
          </w:p>
        </w:tc>
        <w:tc>
          <w:tcPr>
            <w:tcW w:w="2869" w:type="dxa"/>
            <w:noWrap w:val="0"/>
            <w:vAlign w:val="center"/>
          </w:tcPr>
          <w:p w14:paraId="63D3DF11">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污水达标排放情况</w:t>
            </w:r>
          </w:p>
        </w:tc>
        <w:tc>
          <w:tcPr>
            <w:tcW w:w="1287" w:type="dxa"/>
            <w:noWrap w:val="0"/>
            <w:vAlign w:val="center"/>
          </w:tcPr>
          <w:p w14:paraId="055E5E98">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达标排放</w:t>
            </w:r>
          </w:p>
        </w:tc>
        <w:tc>
          <w:tcPr>
            <w:tcW w:w="1669" w:type="dxa"/>
            <w:noWrap w:val="0"/>
            <w:vAlign w:val="center"/>
          </w:tcPr>
          <w:p w14:paraId="55B8658F">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达标排放</w:t>
            </w:r>
          </w:p>
        </w:tc>
        <w:tc>
          <w:tcPr>
            <w:tcW w:w="654" w:type="dxa"/>
            <w:tcBorders>
              <w:right w:val="nil"/>
            </w:tcBorders>
            <w:noWrap w:val="0"/>
            <w:vAlign w:val="center"/>
          </w:tcPr>
          <w:p w14:paraId="6CA5ABD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611E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83" w:type="dxa"/>
            <w:vMerge w:val="continue"/>
            <w:tcBorders>
              <w:left w:val="nil"/>
            </w:tcBorders>
            <w:noWrap w:val="0"/>
            <w:vAlign w:val="center"/>
          </w:tcPr>
          <w:p w14:paraId="06E9F4EB">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528" w:type="dxa"/>
            <w:noWrap w:val="0"/>
            <w:vAlign w:val="center"/>
          </w:tcPr>
          <w:p w14:paraId="31D6A41E">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时效指标</w:t>
            </w:r>
          </w:p>
        </w:tc>
        <w:tc>
          <w:tcPr>
            <w:tcW w:w="2869" w:type="dxa"/>
            <w:shd w:val="clear" w:color="auto" w:fill="auto"/>
            <w:noWrap w:val="0"/>
            <w:vAlign w:val="center"/>
          </w:tcPr>
          <w:p w14:paraId="120CF9B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资金拨付及时率</w:t>
            </w:r>
          </w:p>
        </w:tc>
        <w:tc>
          <w:tcPr>
            <w:tcW w:w="1287" w:type="dxa"/>
            <w:shd w:val="clear" w:color="auto" w:fill="auto"/>
            <w:noWrap w:val="0"/>
            <w:vAlign w:val="center"/>
          </w:tcPr>
          <w:p w14:paraId="2FB222F0">
            <w:pPr>
              <w:keepNext w:val="0"/>
              <w:keepLines w:val="0"/>
              <w:widowControl/>
              <w:suppressLineNumbers w:val="0"/>
              <w:jc w:val="center"/>
              <w:textAlignment w:val="center"/>
              <w:rPr>
                <w:rFonts w:hint="default" w:ascii="仿宋_GB2312" w:hAnsi="仿宋_GB2312" w:eastAsia="仿宋_GB2312" w:cs="仿宋_GB2312"/>
                <w:i w:val="0"/>
                <w:iCs w:val="0"/>
                <w:color w:val="000000"/>
                <w:spacing w:val="-11"/>
                <w:kern w:val="0"/>
                <w:sz w:val="21"/>
                <w:szCs w:val="21"/>
                <w:u w:val="none"/>
                <w:lang w:val="en-US" w:eastAsia="zh-CN" w:bidi="ar"/>
              </w:rPr>
            </w:pPr>
            <w:r>
              <w:rPr>
                <w:rFonts w:hint="eastAsia" w:ascii="仿宋_GB2312" w:hAnsi="仿宋_GB2312" w:eastAsia="仿宋_GB2312" w:cs="仿宋_GB2312"/>
                <w:i w:val="0"/>
                <w:iCs w:val="0"/>
                <w:color w:val="000000"/>
                <w:spacing w:val="-11"/>
                <w:kern w:val="0"/>
                <w:sz w:val="21"/>
                <w:szCs w:val="21"/>
                <w:u w:val="none"/>
                <w:lang w:val="en-US" w:eastAsia="zh-CN" w:bidi="ar"/>
              </w:rPr>
              <w:t>按合同约定支付运行费</w:t>
            </w:r>
          </w:p>
        </w:tc>
        <w:tc>
          <w:tcPr>
            <w:tcW w:w="1669" w:type="dxa"/>
            <w:shd w:val="clear" w:color="auto" w:fill="auto"/>
            <w:noWrap w:val="0"/>
            <w:vAlign w:val="center"/>
          </w:tcPr>
          <w:p w14:paraId="7AC4A071">
            <w:pPr>
              <w:keepNext w:val="0"/>
              <w:keepLines w:val="0"/>
              <w:widowControl/>
              <w:suppressLineNumbers w:val="0"/>
              <w:jc w:val="center"/>
              <w:textAlignment w:val="center"/>
              <w:rPr>
                <w:rFonts w:hint="default" w:ascii="仿宋_GB2312" w:hAnsi="仿宋_GB2312" w:eastAsia="仿宋_GB2312" w:cs="仿宋_GB2312"/>
                <w:i w:val="0"/>
                <w:iCs w:val="0"/>
                <w:color w:val="000000"/>
                <w:spacing w:val="-11"/>
                <w:kern w:val="0"/>
                <w:sz w:val="21"/>
                <w:szCs w:val="21"/>
                <w:u w:val="none"/>
                <w:lang w:val="en-US" w:eastAsia="zh-CN" w:bidi="ar"/>
              </w:rPr>
            </w:pPr>
            <w:r>
              <w:rPr>
                <w:rFonts w:hint="eastAsia" w:ascii="仿宋_GB2312" w:hAnsi="仿宋_GB2312" w:eastAsia="仿宋_GB2312" w:cs="仿宋_GB2312"/>
                <w:i w:val="0"/>
                <w:iCs w:val="0"/>
                <w:color w:val="000000"/>
                <w:spacing w:val="-11"/>
                <w:kern w:val="0"/>
                <w:sz w:val="21"/>
                <w:szCs w:val="21"/>
                <w:u w:val="none"/>
                <w:lang w:val="en-US" w:eastAsia="zh-CN" w:bidi="ar"/>
              </w:rPr>
              <w:t>按合同约定支付运行费</w:t>
            </w:r>
          </w:p>
        </w:tc>
        <w:tc>
          <w:tcPr>
            <w:tcW w:w="654" w:type="dxa"/>
            <w:tcBorders>
              <w:right w:val="nil"/>
            </w:tcBorders>
            <w:noWrap w:val="0"/>
            <w:vAlign w:val="center"/>
          </w:tcPr>
          <w:p w14:paraId="5FA7401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2600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83" w:type="dxa"/>
            <w:vMerge w:val="restart"/>
            <w:tcBorders>
              <w:left w:val="nil"/>
            </w:tcBorders>
            <w:noWrap w:val="0"/>
            <w:vAlign w:val="center"/>
          </w:tcPr>
          <w:p w14:paraId="5723D133">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效益指标</w:t>
            </w:r>
          </w:p>
        </w:tc>
        <w:tc>
          <w:tcPr>
            <w:tcW w:w="1528" w:type="dxa"/>
            <w:noWrap w:val="0"/>
            <w:vAlign w:val="center"/>
          </w:tcPr>
          <w:p w14:paraId="608FB56A">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经济效益指标</w:t>
            </w:r>
          </w:p>
        </w:tc>
        <w:tc>
          <w:tcPr>
            <w:tcW w:w="2869" w:type="dxa"/>
            <w:tcBorders>
              <w:top w:val="single" w:color="000000" w:sz="4" w:space="0"/>
              <w:bottom w:val="single" w:color="000000" w:sz="4" w:space="0"/>
            </w:tcBorders>
            <w:noWrap w:val="0"/>
            <w:vAlign w:val="center"/>
          </w:tcPr>
          <w:p w14:paraId="44F01A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促进区域经济发展情况</w:t>
            </w:r>
          </w:p>
        </w:tc>
        <w:tc>
          <w:tcPr>
            <w:tcW w:w="1287" w:type="dxa"/>
            <w:noWrap w:val="0"/>
            <w:vAlign w:val="center"/>
          </w:tcPr>
          <w:p w14:paraId="3A4C8F5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green"/>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1669" w:type="dxa"/>
            <w:noWrap w:val="0"/>
            <w:vAlign w:val="center"/>
          </w:tcPr>
          <w:p w14:paraId="3666C008">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654" w:type="dxa"/>
            <w:tcBorders>
              <w:right w:val="nil"/>
            </w:tcBorders>
            <w:noWrap w:val="0"/>
            <w:vAlign w:val="center"/>
          </w:tcPr>
          <w:p w14:paraId="6CE777F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green"/>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6B81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83" w:type="dxa"/>
            <w:vMerge w:val="continue"/>
            <w:tcBorders>
              <w:left w:val="nil"/>
            </w:tcBorders>
            <w:noWrap w:val="0"/>
            <w:vAlign w:val="center"/>
          </w:tcPr>
          <w:p w14:paraId="0607A2CD">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528" w:type="dxa"/>
            <w:vMerge w:val="restart"/>
            <w:noWrap w:val="0"/>
            <w:vAlign w:val="center"/>
          </w:tcPr>
          <w:p w14:paraId="10AB2A90">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社会效益指标</w:t>
            </w:r>
          </w:p>
        </w:tc>
        <w:tc>
          <w:tcPr>
            <w:tcW w:w="2869" w:type="dxa"/>
            <w:tcBorders>
              <w:top w:val="single" w:color="000000" w:sz="4" w:space="0"/>
              <w:bottom w:val="single" w:color="000000" w:sz="4" w:space="0"/>
            </w:tcBorders>
            <w:noWrap w:val="0"/>
            <w:vAlign w:val="center"/>
          </w:tcPr>
          <w:p w14:paraId="234A945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区域污水得到有效治理情况</w:t>
            </w:r>
          </w:p>
        </w:tc>
        <w:tc>
          <w:tcPr>
            <w:tcW w:w="1287" w:type="dxa"/>
            <w:noWrap w:val="0"/>
            <w:vAlign w:val="center"/>
          </w:tcPr>
          <w:p w14:paraId="0476611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green"/>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1669" w:type="dxa"/>
            <w:noWrap w:val="0"/>
            <w:vAlign w:val="center"/>
          </w:tcPr>
          <w:p w14:paraId="107C4B33">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654" w:type="dxa"/>
            <w:tcBorders>
              <w:right w:val="nil"/>
            </w:tcBorders>
            <w:noWrap w:val="0"/>
            <w:vAlign w:val="center"/>
          </w:tcPr>
          <w:p w14:paraId="43AD85C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green"/>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26EA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83" w:type="dxa"/>
            <w:vMerge w:val="continue"/>
            <w:tcBorders>
              <w:left w:val="nil"/>
            </w:tcBorders>
            <w:noWrap w:val="0"/>
            <w:vAlign w:val="center"/>
          </w:tcPr>
          <w:p w14:paraId="2F3F2737">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528" w:type="dxa"/>
            <w:vMerge w:val="continue"/>
            <w:noWrap w:val="0"/>
            <w:vAlign w:val="center"/>
          </w:tcPr>
          <w:p w14:paraId="6813B20F">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2869" w:type="dxa"/>
            <w:tcBorders>
              <w:top w:val="single" w:color="000000" w:sz="4" w:space="0"/>
              <w:bottom w:val="single" w:color="000000" w:sz="4" w:space="0"/>
            </w:tcBorders>
            <w:noWrap w:val="0"/>
            <w:vAlign w:val="center"/>
          </w:tcPr>
          <w:p w14:paraId="43D9691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改善了周边居民的生活环境</w:t>
            </w:r>
          </w:p>
        </w:tc>
        <w:tc>
          <w:tcPr>
            <w:tcW w:w="1287" w:type="dxa"/>
            <w:noWrap w:val="0"/>
            <w:vAlign w:val="center"/>
          </w:tcPr>
          <w:p w14:paraId="1E2EA5C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green"/>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1669" w:type="dxa"/>
            <w:noWrap w:val="0"/>
            <w:vAlign w:val="center"/>
          </w:tcPr>
          <w:p w14:paraId="4720BB79">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654" w:type="dxa"/>
            <w:tcBorders>
              <w:right w:val="nil"/>
            </w:tcBorders>
            <w:noWrap w:val="0"/>
            <w:vAlign w:val="center"/>
          </w:tcPr>
          <w:p w14:paraId="18EFEEF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green"/>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47B9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83" w:type="dxa"/>
            <w:vMerge w:val="continue"/>
            <w:tcBorders>
              <w:left w:val="nil"/>
            </w:tcBorders>
            <w:noWrap w:val="0"/>
            <w:vAlign w:val="center"/>
          </w:tcPr>
          <w:p w14:paraId="77D5F0BF">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528" w:type="dxa"/>
            <w:noWrap w:val="0"/>
            <w:vAlign w:val="center"/>
          </w:tcPr>
          <w:p w14:paraId="120487C8">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生态效益指标</w:t>
            </w:r>
          </w:p>
        </w:tc>
        <w:tc>
          <w:tcPr>
            <w:tcW w:w="2869" w:type="dxa"/>
            <w:tcBorders>
              <w:top w:val="single" w:color="000000" w:sz="4" w:space="0"/>
              <w:bottom w:val="single" w:color="000000" w:sz="4" w:space="0"/>
            </w:tcBorders>
            <w:shd w:val="clear" w:color="auto" w:fill="auto"/>
            <w:noWrap w:val="0"/>
            <w:vAlign w:val="center"/>
          </w:tcPr>
          <w:p w14:paraId="7A183FF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持续改善自然生态环境</w:t>
            </w:r>
          </w:p>
        </w:tc>
        <w:tc>
          <w:tcPr>
            <w:tcW w:w="1287" w:type="dxa"/>
            <w:noWrap w:val="0"/>
            <w:vAlign w:val="center"/>
          </w:tcPr>
          <w:p w14:paraId="5359A100">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1669" w:type="dxa"/>
            <w:noWrap w:val="0"/>
            <w:vAlign w:val="center"/>
          </w:tcPr>
          <w:p w14:paraId="672D7CC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654" w:type="dxa"/>
            <w:tcBorders>
              <w:right w:val="nil"/>
            </w:tcBorders>
            <w:noWrap w:val="0"/>
            <w:vAlign w:val="center"/>
          </w:tcPr>
          <w:p w14:paraId="16996FB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2363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83" w:type="dxa"/>
            <w:vMerge w:val="continue"/>
            <w:tcBorders>
              <w:left w:val="nil"/>
            </w:tcBorders>
            <w:noWrap w:val="0"/>
            <w:vAlign w:val="center"/>
          </w:tcPr>
          <w:p w14:paraId="7FD611E2">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528" w:type="dxa"/>
            <w:noWrap w:val="0"/>
            <w:vAlign w:val="center"/>
          </w:tcPr>
          <w:p w14:paraId="7741FF2D">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可持续影响指标</w:t>
            </w:r>
          </w:p>
        </w:tc>
        <w:tc>
          <w:tcPr>
            <w:tcW w:w="2869" w:type="dxa"/>
            <w:tcBorders>
              <w:top w:val="single" w:color="000000" w:sz="4" w:space="0"/>
              <w:bottom w:val="single" w:color="000000" w:sz="4" w:space="0"/>
            </w:tcBorders>
            <w:shd w:val="clear" w:color="auto" w:fill="auto"/>
            <w:noWrap w:val="0"/>
            <w:vAlign w:val="center"/>
          </w:tcPr>
          <w:p w14:paraId="393B392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后期管护及长效运营保障机制建设情况</w:t>
            </w:r>
          </w:p>
        </w:tc>
        <w:tc>
          <w:tcPr>
            <w:tcW w:w="1287" w:type="dxa"/>
            <w:noWrap w:val="0"/>
            <w:vAlign w:val="center"/>
          </w:tcPr>
          <w:p w14:paraId="2A78344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有效建立</w:t>
            </w:r>
          </w:p>
        </w:tc>
        <w:tc>
          <w:tcPr>
            <w:tcW w:w="1669" w:type="dxa"/>
            <w:noWrap w:val="0"/>
            <w:vAlign w:val="center"/>
          </w:tcPr>
          <w:p w14:paraId="2B2662BE">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基本建立</w:t>
            </w:r>
          </w:p>
        </w:tc>
        <w:tc>
          <w:tcPr>
            <w:tcW w:w="654" w:type="dxa"/>
            <w:tcBorders>
              <w:right w:val="nil"/>
            </w:tcBorders>
            <w:noWrap w:val="0"/>
            <w:vAlign w:val="center"/>
          </w:tcPr>
          <w:p w14:paraId="60C7E93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green"/>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0720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Merge w:val="continue"/>
            <w:tcBorders>
              <w:left w:val="nil"/>
            </w:tcBorders>
            <w:noWrap w:val="0"/>
            <w:vAlign w:val="center"/>
          </w:tcPr>
          <w:p w14:paraId="0C94439D">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528" w:type="dxa"/>
            <w:noWrap w:val="0"/>
            <w:vAlign w:val="center"/>
          </w:tcPr>
          <w:p w14:paraId="39F0C054">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2869" w:type="dxa"/>
            <w:tcBorders>
              <w:top w:val="single" w:color="000000" w:sz="4" w:space="0"/>
            </w:tcBorders>
            <w:noWrap w:val="0"/>
            <w:vAlign w:val="center"/>
          </w:tcPr>
          <w:p w14:paraId="5D918963">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服务对象（项目受益人）认可程度</w:t>
            </w:r>
          </w:p>
        </w:tc>
        <w:tc>
          <w:tcPr>
            <w:tcW w:w="1287" w:type="dxa"/>
            <w:noWrap w:val="0"/>
            <w:vAlign w:val="center"/>
          </w:tcPr>
          <w:p w14:paraId="3D6B6047">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≥95%</w:t>
            </w:r>
          </w:p>
        </w:tc>
        <w:tc>
          <w:tcPr>
            <w:tcW w:w="1669" w:type="dxa"/>
            <w:noWrap w:val="0"/>
            <w:vAlign w:val="center"/>
          </w:tcPr>
          <w:p w14:paraId="196735D8">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000000" w:themeColor="text1"/>
                <w:kern w:val="2"/>
                <w:sz w:val="21"/>
                <w:szCs w:val="21"/>
                <w:highlight w:val="none"/>
                <w:vertAlign w:val="baseline"/>
                <w:lang w:val="en-US" w:eastAsia="zh-CN" w:bidi="ar-SA"/>
                <w14:textFill>
                  <w14:solidFill>
                    <w14:schemeClr w14:val="tx1"/>
                  </w14:solidFill>
                </w14:textFill>
              </w:rPr>
              <w:t>92.30%</w:t>
            </w:r>
          </w:p>
        </w:tc>
        <w:tc>
          <w:tcPr>
            <w:tcW w:w="654" w:type="dxa"/>
            <w:tcBorders>
              <w:right w:val="nil"/>
            </w:tcBorders>
            <w:noWrap w:val="0"/>
            <w:vAlign w:val="center"/>
          </w:tcPr>
          <w:p w14:paraId="41D08D2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green"/>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bl>
    <w:p w14:paraId="665A42CE">
      <w:pPr>
        <w:keepNext w:val="0"/>
        <w:keepLines w:val="0"/>
        <w:pageBreakBefore w:val="0"/>
        <w:widowControl w:val="0"/>
        <w:kinsoku/>
        <w:wordWrap/>
        <w:overflowPunct/>
        <w:topLinePunct w:val="0"/>
        <w:autoSpaceDE/>
        <w:autoSpaceDN/>
        <w:bidi w:val="0"/>
        <w:adjustRightInd/>
        <w:snapToGrid/>
        <w:spacing w:line="480" w:lineRule="exact"/>
        <w:ind w:left="0" w:leftChars="0" w:firstLine="486" w:firstLineChars="200"/>
        <w:jc w:val="both"/>
        <w:textAlignment w:val="auto"/>
        <w:rPr>
          <w:rFonts w:hint="default" w:ascii="楷体" w:hAnsi="楷体" w:eastAsia="楷体" w:cs="楷体"/>
          <w:w w:val="90"/>
          <w:kern w:val="2"/>
          <w:sz w:val="20"/>
          <w:szCs w:val="20"/>
          <w:vertAlign w:val="baseline"/>
          <w:lang w:val="en-US" w:eastAsia="zh-CN" w:bidi="ar-SA"/>
        </w:rPr>
      </w:pPr>
      <w:r>
        <w:rPr>
          <w:rFonts w:hint="eastAsia" w:ascii="楷体" w:hAnsi="楷体" w:eastAsia="楷体" w:cs="楷体"/>
          <w:color w:val="auto"/>
          <w:kern w:val="2"/>
          <w:sz w:val="24"/>
          <w:szCs w:val="24"/>
          <w:highlight w:val="none"/>
          <w:lang w:val="en-US" w:eastAsia="zh-CN" w:bidi="ar-SA"/>
        </w:rPr>
        <w:t>（注：此</w:t>
      </w:r>
      <w:r>
        <w:rPr>
          <w:rFonts w:hint="eastAsia" w:ascii="楷体" w:hAnsi="楷体" w:eastAsia="楷体" w:cs="楷体"/>
          <w:color w:val="auto"/>
          <w:sz w:val="24"/>
          <w:szCs w:val="24"/>
          <w:highlight w:val="none"/>
          <w:lang w:val="en-US" w:eastAsia="zh-CN"/>
        </w:rPr>
        <w:t>表中部分指标是评价组根据项目单位提供的有关资料、评价组收集到的相关资料以及本次评价检查情况而调整的绩效目标及其完成值</w:t>
      </w:r>
      <w:r>
        <w:rPr>
          <w:rFonts w:ascii="楷体" w:hAnsi="楷体" w:eastAsia="楷体" w:cs="楷体"/>
          <w:color w:val="auto"/>
          <w:kern w:val="2"/>
          <w:sz w:val="24"/>
          <w:szCs w:val="24"/>
          <w:lang w:bidi="ar-SA"/>
        </w:rPr>
        <w:t>。</w:t>
      </w:r>
      <w:r>
        <w:rPr>
          <w:rFonts w:hint="eastAsia" w:ascii="楷体" w:hAnsi="楷体" w:eastAsia="楷体" w:cs="楷体"/>
          <w:color w:val="auto"/>
          <w:kern w:val="2"/>
          <w:sz w:val="24"/>
          <w:szCs w:val="24"/>
          <w:highlight w:val="none"/>
          <w:lang w:val="en-US" w:eastAsia="zh-CN" w:bidi="ar-SA"/>
        </w:rPr>
        <w:t>）</w:t>
      </w:r>
    </w:p>
    <w:p w14:paraId="0127DF12">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黑体" w:hAnsi="黑体" w:eastAsia="黑体" w:cs="黑体"/>
          <w:color w:val="auto"/>
          <w:sz w:val="32"/>
          <w:szCs w:val="32"/>
          <w:highlight w:val="none"/>
        </w:rPr>
      </w:pPr>
      <w:r>
        <w:rPr>
          <w:rFonts w:hint="eastAsia" w:ascii="仿宋" w:hAnsi="仿宋" w:eastAsia="仿宋" w:cs="仿宋"/>
          <w:color w:val="auto"/>
          <w:sz w:val="32"/>
          <w:szCs w:val="32"/>
          <w:highlight w:val="none"/>
          <w:lang w:val="en-US" w:eastAsia="zh-CN"/>
        </w:rPr>
        <w:t xml:space="preserve"> </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、绩效评价工作开展情况</w:t>
      </w:r>
    </w:p>
    <w:p w14:paraId="6D8E7003">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b/>
          <w:bCs/>
          <w:color w:val="auto"/>
          <w:sz w:val="32"/>
          <w:szCs w:val="32"/>
          <w:highlight w:val="none"/>
          <w:lang w:val="zh-CN"/>
        </w:rPr>
      </w:pPr>
      <w:r>
        <w:rPr>
          <w:rFonts w:hint="eastAsia" w:ascii="楷体" w:hAnsi="楷体" w:eastAsia="楷体" w:cs="楷体"/>
          <w:b/>
          <w:bCs/>
          <w:color w:val="auto"/>
          <w:sz w:val="32"/>
          <w:szCs w:val="32"/>
          <w:highlight w:val="none"/>
          <w:lang w:val="en-US" w:eastAsia="zh-CN"/>
        </w:rPr>
        <w:t>（一）</w:t>
      </w:r>
      <w:r>
        <w:rPr>
          <w:rFonts w:hint="eastAsia" w:ascii="楷体" w:hAnsi="楷体" w:eastAsia="楷体" w:cs="楷体"/>
          <w:b/>
          <w:bCs/>
          <w:color w:val="auto"/>
          <w:sz w:val="32"/>
          <w:szCs w:val="32"/>
          <w:highlight w:val="none"/>
          <w:lang w:val="zh-CN"/>
        </w:rPr>
        <w:t>评价依据</w:t>
      </w:r>
    </w:p>
    <w:p w14:paraId="784741F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1.中央、省、市、县现行相关政策文件；</w:t>
      </w:r>
    </w:p>
    <w:p w14:paraId="2A79730C">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2.县财政局相关文件；</w:t>
      </w:r>
    </w:p>
    <w:p w14:paraId="64560830">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3.项目实施单位提供的相关资料，包括项目申报资料、项目自评报告、绩效目标表、资金到账及资金支出凭证，验收、审计相关资料，项目实施及管理等相关资料；</w:t>
      </w:r>
    </w:p>
    <w:p w14:paraId="7A4A31BF">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4.评价工作人员通过现场调查、核实、问卷等获得的资料；</w:t>
      </w:r>
    </w:p>
    <w:p w14:paraId="7D50E2B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5.其他相关资料。</w:t>
      </w:r>
    </w:p>
    <w:p w14:paraId="4AD39A1A">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楷体" w:hAnsi="楷体" w:eastAsia="楷体" w:cs="楷体"/>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eastAsia" w:ascii="楷体" w:hAnsi="楷体" w:eastAsia="楷体" w:cs="楷体"/>
          <w:b/>
          <w:bCs/>
          <w:color w:val="auto"/>
          <w:sz w:val="32"/>
          <w:szCs w:val="32"/>
          <w:highlight w:val="none"/>
          <w:lang w:val="en-US" w:eastAsia="zh-CN"/>
        </w:rPr>
        <w:t>二）评价目的与重点</w:t>
      </w:r>
    </w:p>
    <w:p w14:paraId="1BE0219F">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1.评价目的</w:t>
      </w:r>
    </w:p>
    <w:p w14:paraId="21CE615C">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运用规范</w:t>
      </w:r>
      <w:r>
        <w:rPr>
          <w:rFonts w:hint="eastAsia" w:ascii="仿宋_GB2312" w:hAnsi="仿宋_GB2312" w:eastAsia="仿宋_GB2312" w:cs="仿宋_GB2312"/>
          <w:color w:val="auto"/>
          <w:kern w:val="2"/>
          <w:sz w:val="32"/>
          <w:szCs w:val="32"/>
          <w:highlight w:val="none"/>
          <w:lang w:val="en-US" w:eastAsia="zh-CN" w:bidi="ar-SA"/>
        </w:rPr>
        <w:t>的绩效指标体系和科学的评价方法，全面、客观反映财政支出项目完成情况和实施效果。同时，及时总结经验，分析存在的问题，采取有效措施改进和加强项目管理，为政府相关决策提供参考依据。</w:t>
      </w:r>
    </w:p>
    <w:p w14:paraId="508A720D">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2.评价重点</w:t>
      </w:r>
    </w:p>
    <w:p w14:paraId="54F102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6"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default" w:ascii="仿宋_GB2312" w:hAnsi="仿宋_GB2312" w:eastAsia="仿宋_GB2312" w:cs="仿宋_GB2312"/>
          <w:color w:val="auto"/>
          <w:kern w:val="2"/>
          <w:sz w:val="32"/>
          <w:szCs w:val="32"/>
          <w:highlight w:val="none"/>
          <w:lang w:val="en-US" w:eastAsia="zh-CN" w:bidi="ar-SA"/>
        </w:rPr>
        <w:t>项目目标及任务完成情况：评估项目是否按时、按质、按量完成了预定的目标和任务。</w:t>
      </w:r>
    </w:p>
    <w:p w14:paraId="72A2CAE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6"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default" w:ascii="仿宋_GB2312" w:hAnsi="仿宋_GB2312" w:eastAsia="仿宋_GB2312" w:cs="仿宋_GB2312"/>
          <w:color w:val="auto"/>
          <w:kern w:val="2"/>
          <w:sz w:val="32"/>
          <w:szCs w:val="32"/>
          <w:highlight w:val="none"/>
          <w:lang w:val="en-US" w:eastAsia="zh-CN" w:bidi="ar-SA"/>
        </w:rPr>
        <w:t>项目质量及</w:t>
      </w:r>
      <w:r>
        <w:rPr>
          <w:rFonts w:hint="eastAsia" w:ascii="仿宋_GB2312" w:hAnsi="仿宋_GB2312" w:eastAsia="仿宋_GB2312" w:cs="仿宋_GB2312"/>
          <w:color w:val="auto"/>
          <w:kern w:val="2"/>
          <w:sz w:val="32"/>
          <w:szCs w:val="32"/>
          <w:highlight w:val="none"/>
          <w:lang w:val="en-US" w:eastAsia="zh-CN" w:bidi="ar-SA"/>
        </w:rPr>
        <w:t>成效</w:t>
      </w:r>
      <w:r>
        <w:rPr>
          <w:rFonts w:hint="default" w:ascii="仿宋_GB2312" w:hAnsi="仿宋_GB2312" w:eastAsia="仿宋_GB2312" w:cs="仿宋_GB2312"/>
          <w:color w:val="auto"/>
          <w:kern w:val="2"/>
          <w:sz w:val="32"/>
          <w:szCs w:val="32"/>
          <w:highlight w:val="none"/>
          <w:lang w:val="en-US" w:eastAsia="zh-CN" w:bidi="ar-SA"/>
        </w:rPr>
        <w:t>：考察项目的产出质量和</w:t>
      </w:r>
      <w:r>
        <w:rPr>
          <w:rFonts w:hint="eastAsia" w:ascii="仿宋_GB2312" w:hAnsi="仿宋_GB2312" w:eastAsia="仿宋_GB2312" w:cs="仿宋_GB2312"/>
          <w:color w:val="auto"/>
          <w:kern w:val="2"/>
          <w:sz w:val="32"/>
          <w:szCs w:val="32"/>
          <w:highlight w:val="none"/>
          <w:lang w:val="en-US" w:eastAsia="zh-CN" w:bidi="ar-SA"/>
        </w:rPr>
        <w:t>成效情况</w:t>
      </w:r>
      <w:r>
        <w:rPr>
          <w:rFonts w:hint="default" w:ascii="仿宋_GB2312" w:hAnsi="仿宋_GB2312" w:eastAsia="仿宋_GB2312" w:cs="仿宋_GB2312"/>
          <w:color w:val="auto"/>
          <w:kern w:val="2"/>
          <w:sz w:val="32"/>
          <w:szCs w:val="32"/>
          <w:highlight w:val="none"/>
          <w:lang w:val="en-US" w:eastAsia="zh-CN" w:bidi="ar-SA"/>
        </w:rPr>
        <w:t>。</w:t>
      </w:r>
    </w:p>
    <w:p w14:paraId="3F6760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6"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w:t>
      </w:r>
      <w:r>
        <w:rPr>
          <w:rFonts w:hint="default" w:ascii="仿宋_GB2312" w:hAnsi="仿宋_GB2312" w:eastAsia="仿宋_GB2312" w:cs="仿宋_GB2312"/>
          <w:color w:val="auto"/>
          <w:kern w:val="2"/>
          <w:sz w:val="32"/>
          <w:szCs w:val="32"/>
          <w:highlight w:val="none"/>
          <w:lang w:val="en-US" w:eastAsia="zh-CN" w:bidi="ar-SA"/>
        </w:rPr>
        <w:t>项目管理效能：评价项目的组织管理、财务管理、</w:t>
      </w:r>
      <w:r>
        <w:rPr>
          <w:rFonts w:hint="eastAsia" w:ascii="仿宋_GB2312" w:hAnsi="仿宋_GB2312" w:eastAsia="仿宋_GB2312" w:cs="仿宋_GB2312"/>
          <w:color w:val="auto"/>
          <w:kern w:val="2"/>
          <w:sz w:val="32"/>
          <w:szCs w:val="32"/>
          <w:highlight w:val="none"/>
          <w:lang w:val="en-US" w:eastAsia="zh-CN" w:bidi="ar-SA"/>
        </w:rPr>
        <w:t>长效</w:t>
      </w:r>
      <w:r>
        <w:rPr>
          <w:rFonts w:hint="default" w:ascii="仿宋_GB2312" w:hAnsi="仿宋_GB2312" w:eastAsia="仿宋_GB2312" w:cs="仿宋_GB2312"/>
          <w:color w:val="auto"/>
          <w:kern w:val="2"/>
          <w:sz w:val="32"/>
          <w:szCs w:val="32"/>
          <w:highlight w:val="none"/>
          <w:lang w:val="en-US" w:eastAsia="zh-CN" w:bidi="ar-SA"/>
        </w:rPr>
        <w:t>管理等方面的效率和效果。</w:t>
      </w:r>
    </w:p>
    <w:p w14:paraId="4A86AB9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6" w:firstLineChars="200"/>
        <w:jc w:val="left"/>
        <w:textAlignment w:val="auto"/>
        <w:rPr>
          <w:rFonts w:hint="eastAsia" w:ascii="楷体" w:hAnsi="楷体" w:eastAsia="楷体" w:cs="楷体"/>
          <w:b/>
          <w:bCs/>
          <w:color w:val="auto"/>
          <w:sz w:val="32"/>
          <w:szCs w:val="32"/>
          <w:highlight w:val="green"/>
          <w:lang w:val="en-US" w:eastAsia="zh-CN"/>
        </w:rPr>
      </w:pPr>
      <w:r>
        <w:rPr>
          <w:rFonts w:hint="eastAsia" w:ascii="仿宋_GB2312" w:hAnsi="仿宋_GB2312" w:eastAsia="仿宋_GB2312" w:cs="仿宋_GB2312"/>
          <w:color w:val="auto"/>
          <w:kern w:val="2"/>
          <w:sz w:val="32"/>
          <w:szCs w:val="32"/>
          <w:highlight w:val="none"/>
          <w:lang w:val="en-US" w:eastAsia="zh-CN" w:bidi="ar-SA"/>
        </w:rPr>
        <w:t>（4）</w:t>
      </w:r>
      <w:r>
        <w:rPr>
          <w:rFonts w:hint="default" w:ascii="仿宋_GB2312" w:hAnsi="仿宋_GB2312" w:eastAsia="仿宋_GB2312" w:cs="仿宋_GB2312"/>
          <w:color w:val="auto"/>
          <w:kern w:val="2"/>
          <w:sz w:val="32"/>
          <w:szCs w:val="32"/>
          <w:highlight w:val="none"/>
          <w:lang w:val="en-US" w:eastAsia="zh-CN" w:bidi="ar-SA"/>
        </w:rPr>
        <w:t>项目的经济效益及社会效益：分析项目对经济发展的贡献以及对社会的正面影响。</w:t>
      </w:r>
    </w:p>
    <w:p w14:paraId="2F24C9A8">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sz w:val="24"/>
          <w:szCs w:val="24"/>
        </w:rPr>
      </w:pPr>
      <w:r>
        <w:rPr>
          <w:rFonts w:hint="eastAsia" w:ascii="楷体" w:hAnsi="楷体" w:eastAsia="楷体" w:cs="楷体"/>
          <w:b/>
          <w:bCs/>
          <w:color w:val="auto"/>
          <w:sz w:val="32"/>
          <w:szCs w:val="32"/>
          <w:highlight w:val="none"/>
          <w:lang w:val="en-US" w:eastAsia="zh-CN"/>
        </w:rPr>
        <w:t>（三）</w:t>
      </w:r>
      <w:r>
        <w:rPr>
          <w:rFonts w:hint="eastAsia" w:ascii="楷体" w:hAnsi="楷体" w:eastAsia="楷体" w:cs="楷体"/>
          <w:b/>
          <w:bCs/>
          <w:color w:val="000000"/>
          <w:kern w:val="0"/>
          <w:sz w:val="31"/>
          <w:szCs w:val="31"/>
          <w:lang w:val="en-US" w:eastAsia="zh-CN" w:bidi="ar"/>
        </w:rPr>
        <w:t>绩效评价指标与方法</w:t>
      </w:r>
      <w:r>
        <w:rPr>
          <w:rFonts w:hint="eastAsia" w:ascii="仿宋_GB2312" w:hAnsi="宋体" w:eastAsia="仿宋_GB2312" w:cs="仿宋_GB2312"/>
          <w:color w:val="000000"/>
          <w:kern w:val="0"/>
          <w:sz w:val="24"/>
          <w:szCs w:val="24"/>
          <w:lang w:val="en-US" w:eastAsia="zh-CN" w:bidi="ar"/>
        </w:rPr>
        <w:t xml:space="preserve"> </w:t>
      </w:r>
    </w:p>
    <w:p w14:paraId="371AD06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969" w:firstLineChars="3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1.评价原则</w:t>
      </w:r>
    </w:p>
    <w:p w14:paraId="40CFCC7C">
      <w:pPr>
        <w:spacing w:line="560" w:lineRule="exact"/>
        <w:ind w:firstLine="64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按照科学规范、公正公开、分级分类、绩效相关的原则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对项目进行综合评价。</w:t>
      </w:r>
    </w:p>
    <w:p w14:paraId="03D61A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969" w:firstLineChars="300"/>
        <w:jc w:val="left"/>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2.评价指标体系</w:t>
      </w:r>
    </w:p>
    <w:p w14:paraId="013C073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969" w:firstLineChars="300"/>
        <w:jc w:val="left"/>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项目评价指标体系详见附件。</w:t>
      </w:r>
    </w:p>
    <w:p w14:paraId="7087528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969" w:firstLineChars="300"/>
        <w:jc w:val="left"/>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3.评价方法</w:t>
      </w:r>
    </w:p>
    <w:p w14:paraId="1DDFA4C4">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采用比较、因素分析、公众评判等评价方法，在</w:t>
      </w:r>
      <w:r>
        <w:rPr>
          <w:rFonts w:hint="eastAsia" w:ascii="仿宋_GB2312" w:hAnsi="仿宋_GB2312" w:eastAsia="仿宋_GB2312" w:cs="仿宋_GB2312"/>
          <w:color w:val="auto"/>
          <w:kern w:val="2"/>
          <w:sz w:val="32"/>
          <w:szCs w:val="32"/>
          <w:highlight w:val="none"/>
          <w:lang w:val="zh-CN" w:eastAsia="zh-CN" w:bidi="ar-SA"/>
        </w:rPr>
        <w:t>项目单位自评</w:t>
      </w:r>
      <w:r>
        <w:rPr>
          <w:rFonts w:hint="eastAsia" w:ascii="仿宋_GB2312" w:hAnsi="仿宋_GB2312" w:eastAsia="仿宋_GB2312" w:cs="仿宋_GB2312"/>
          <w:color w:val="auto"/>
          <w:kern w:val="2"/>
          <w:sz w:val="32"/>
          <w:szCs w:val="32"/>
          <w:highlight w:val="none"/>
          <w:lang w:val="en-US" w:eastAsia="zh-CN" w:bidi="ar-SA"/>
        </w:rPr>
        <w:t>的基础上</w:t>
      </w:r>
      <w:r>
        <w:rPr>
          <w:rFonts w:hint="eastAsia" w:ascii="仿宋_GB2312" w:hAnsi="仿宋_GB2312" w:eastAsia="仿宋_GB2312" w:cs="仿宋_GB2312"/>
          <w:color w:val="auto"/>
          <w:kern w:val="2"/>
          <w:sz w:val="32"/>
          <w:szCs w:val="32"/>
          <w:highlight w:val="none"/>
          <w:lang w:val="zh-CN" w:eastAsia="zh-CN" w:bidi="ar-SA"/>
        </w:rPr>
        <w:t>，通过</w:t>
      </w:r>
      <w:r>
        <w:rPr>
          <w:rFonts w:hint="eastAsia" w:ascii="仿宋_GB2312" w:hAnsi="仿宋_GB2312" w:eastAsia="仿宋_GB2312" w:cs="仿宋_GB2312"/>
          <w:color w:val="auto"/>
          <w:kern w:val="2"/>
          <w:sz w:val="32"/>
          <w:szCs w:val="32"/>
          <w:highlight w:val="none"/>
          <w:lang w:val="en-US" w:eastAsia="zh-CN" w:bidi="ar-SA"/>
        </w:rPr>
        <w:t>统计汇总与数据</w:t>
      </w:r>
      <w:r>
        <w:rPr>
          <w:rFonts w:hint="eastAsia" w:ascii="仿宋_GB2312" w:hAnsi="仿宋_GB2312" w:eastAsia="仿宋_GB2312" w:cs="仿宋_GB2312"/>
          <w:color w:val="auto"/>
          <w:kern w:val="2"/>
          <w:sz w:val="32"/>
          <w:szCs w:val="32"/>
          <w:highlight w:val="none"/>
          <w:lang w:val="zh-CN" w:eastAsia="zh-CN" w:bidi="ar-SA"/>
        </w:rPr>
        <w:t>分析、整体评价与现场评价、</w:t>
      </w:r>
      <w:r>
        <w:rPr>
          <w:rFonts w:hint="eastAsia" w:ascii="仿宋_GB2312" w:hAnsi="仿宋_GB2312" w:eastAsia="仿宋_GB2312" w:cs="仿宋_GB2312"/>
          <w:color w:val="auto"/>
          <w:kern w:val="2"/>
          <w:sz w:val="32"/>
          <w:szCs w:val="32"/>
          <w:highlight w:val="none"/>
          <w:lang w:val="en-US" w:eastAsia="zh-CN" w:bidi="ar-SA"/>
        </w:rPr>
        <w:t>走访惠及群众及</w:t>
      </w:r>
      <w:r>
        <w:rPr>
          <w:rFonts w:hint="eastAsia" w:ascii="仿宋_GB2312" w:hAnsi="仿宋_GB2312" w:eastAsia="仿宋_GB2312" w:cs="仿宋_GB2312"/>
          <w:color w:val="auto"/>
          <w:kern w:val="2"/>
          <w:sz w:val="32"/>
          <w:szCs w:val="32"/>
          <w:highlight w:val="none"/>
          <w:lang w:val="zh-CN" w:eastAsia="zh-CN" w:bidi="ar-SA"/>
        </w:rPr>
        <w:t>问卷调查等方式进行</w:t>
      </w:r>
      <w:r>
        <w:rPr>
          <w:rFonts w:hint="eastAsia" w:ascii="仿宋_GB2312" w:hAnsi="仿宋_GB2312" w:eastAsia="仿宋_GB2312" w:cs="仿宋_GB2312"/>
          <w:color w:val="auto"/>
          <w:kern w:val="2"/>
          <w:sz w:val="32"/>
          <w:szCs w:val="32"/>
          <w:highlight w:val="none"/>
          <w:lang w:val="en-US" w:eastAsia="zh-CN" w:bidi="ar-SA"/>
        </w:rPr>
        <w:t>绩效</w:t>
      </w:r>
      <w:r>
        <w:rPr>
          <w:rFonts w:hint="eastAsia" w:ascii="仿宋_GB2312" w:hAnsi="仿宋_GB2312" w:eastAsia="仿宋_GB2312" w:cs="仿宋_GB2312"/>
          <w:color w:val="auto"/>
          <w:kern w:val="2"/>
          <w:sz w:val="32"/>
          <w:szCs w:val="32"/>
          <w:highlight w:val="none"/>
          <w:lang w:val="zh-CN" w:eastAsia="zh-CN" w:bidi="ar-SA"/>
        </w:rPr>
        <w:t>评价，形成</w:t>
      </w:r>
      <w:r>
        <w:rPr>
          <w:rFonts w:hint="eastAsia" w:ascii="仿宋_GB2312" w:hAnsi="仿宋_GB2312" w:eastAsia="仿宋_GB2312" w:cs="仿宋_GB2312"/>
          <w:color w:val="auto"/>
          <w:kern w:val="2"/>
          <w:sz w:val="32"/>
          <w:szCs w:val="32"/>
          <w:highlight w:val="none"/>
          <w:lang w:val="en-US" w:eastAsia="zh-CN" w:bidi="ar-SA"/>
        </w:rPr>
        <w:t>评价结论，</w:t>
      </w:r>
      <w:r>
        <w:rPr>
          <w:rFonts w:hint="eastAsia" w:ascii="仿宋_GB2312" w:hAnsi="仿宋_GB2312" w:eastAsia="仿宋_GB2312" w:cs="仿宋_GB2312"/>
          <w:color w:val="auto"/>
          <w:kern w:val="2"/>
          <w:sz w:val="32"/>
          <w:szCs w:val="32"/>
          <w:highlight w:val="none"/>
          <w:lang w:val="zh-CN" w:eastAsia="zh-CN" w:bidi="ar-SA"/>
        </w:rPr>
        <w:t>撰写</w:t>
      </w:r>
      <w:r>
        <w:rPr>
          <w:rFonts w:hint="eastAsia" w:ascii="仿宋_GB2312" w:hAnsi="仿宋_GB2312" w:eastAsia="仿宋_GB2312" w:cs="仿宋_GB2312"/>
          <w:color w:val="auto"/>
          <w:kern w:val="2"/>
          <w:sz w:val="32"/>
          <w:szCs w:val="32"/>
          <w:highlight w:val="none"/>
          <w:lang w:val="en-US" w:eastAsia="zh-CN" w:bidi="ar-SA"/>
        </w:rPr>
        <w:t>评价</w:t>
      </w:r>
      <w:r>
        <w:rPr>
          <w:rFonts w:hint="eastAsia" w:ascii="仿宋_GB2312" w:hAnsi="仿宋_GB2312" w:eastAsia="仿宋_GB2312" w:cs="仿宋_GB2312"/>
          <w:color w:val="auto"/>
          <w:kern w:val="2"/>
          <w:sz w:val="32"/>
          <w:szCs w:val="32"/>
          <w:highlight w:val="none"/>
          <w:lang w:val="zh-CN" w:eastAsia="zh-CN" w:bidi="ar-SA"/>
        </w:rPr>
        <w:t>报告</w:t>
      </w:r>
      <w:r>
        <w:rPr>
          <w:rFonts w:hint="eastAsia" w:ascii="仿宋_GB2312" w:hAnsi="仿宋_GB2312" w:eastAsia="仿宋_GB2312" w:cs="仿宋_GB2312"/>
          <w:color w:val="auto"/>
          <w:kern w:val="2"/>
          <w:sz w:val="32"/>
          <w:szCs w:val="32"/>
          <w:highlight w:val="none"/>
          <w:lang w:val="en-US" w:eastAsia="zh-CN" w:bidi="ar-SA"/>
        </w:rPr>
        <w:t>。</w:t>
      </w:r>
    </w:p>
    <w:p w14:paraId="3EC1BE5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969" w:firstLineChars="300"/>
        <w:jc w:val="left"/>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4.评价标准</w:t>
      </w:r>
    </w:p>
    <w:p w14:paraId="0CDCB2BC">
      <w:pPr>
        <w:keepNext w:val="0"/>
        <w:keepLines w:val="0"/>
        <w:pageBreakBefore w:val="0"/>
        <w:widowControl w:val="0"/>
        <w:kinsoku/>
        <w:wordWrap/>
        <w:overflowPunct/>
        <w:topLinePunct w:val="0"/>
        <w:autoSpaceDE/>
        <w:autoSpaceDN/>
        <w:bidi w:val="0"/>
        <w:adjustRightInd/>
        <w:snapToGrid/>
        <w:spacing w:line="560" w:lineRule="exact"/>
        <w:ind w:firstLine="64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2024年扶风县杏林镇污水处理厂运行补助资金项目绩效评价采</w:t>
      </w:r>
      <w:r>
        <w:rPr>
          <w:rFonts w:hint="eastAsia" w:ascii="仿宋_GB2312" w:hAnsi="仿宋_GB2312" w:eastAsia="仿宋_GB2312" w:cs="仿宋_GB2312"/>
          <w:color w:val="auto"/>
          <w:sz w:val="32"/>
          <w:szCs w:val="32"/>
          <w:highlight w:val="none"/>
        </w:rPr>
        <w:t>用百分制得分。评价指标共设置</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个一级指标、</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个二级指标、</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个三级指标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评价结果分为优</w:t>
      </w:r>
      <w:r>
        <w:rPr>
          <w:rFonts w:hint="eastAsia" w:ascii="仿宋_GB2312" w:hAnsi="仿宋_GB2312" w:eastAsia="仿宋_GB2312" w:cs="仿宋_GB2312"/>
          <w:color w:val="auto"/>
          <w:sz w:val="32"/>
          <w:szCs w:val="32"/>
          <w:highlight w:val="none"/>
          <w:lang w:val="en-US" w:eastAsia="zh-CN"/>
        </w:rPr>
        <w:t>秀</w:t>
      </w:r>
      <w:r>
        <w:rPr>
          <w:rFonts w:hint="eastAsia" w:ascii="仿宋_GB2312" w:hAnsi="仿宋_GB2312" w:eastAsia="仿宋_GB2312" w:cs="仿宋_GB2312"/>
          <w:color w:val="auto"/>
          <w:sz w:val="32"/>
          <w:szCs w:val="32"/>
          <w:highlight w:val="none"/>
        </w:rPr>
        <w:t>、良</w:t>
      </w:r>
      <w:r>
        <w:rPr>
          <w:rFonts w:hint="eastAsia" w:ascii="仿宋_GB2312" w:hAnsi="仿宋_GB2312" w:eastAsia="仿宋_GB2312" w:cs="仿宋_GB2312"/>
          <w:color w:val="auto"/>
          <w:sz w:val="32"/>
          <w:szCs w:val="32"/>
          <w:highlight w:val="none"/>
          <w:lang w:val="en-US" w:eastAsia="zh-CN"/>
        </w:rPr>
        <w:t>好</w:t>
      </w:r>
      <w:r>
        <w:rPr>
          <w:rFonts w:hint="eastAsia" w:ascii="仿宋_GB2312" w:hAnsi="仿宋_GB2312" w:eastAsia="仿宋_GB2312" w:cs="仿宋_GB2312"/>
          <w:color w:val="auto"/>
          <w:sz w:val="32"/>
          <w:szCs w:val="32"/>
          <w:highlight w:val="none"/>
        </w:rPr>
        <w:t>、一般、差4个评价等次，根据计算结果的分值，确定评价项目最后达到的等次。具体</w:t>
      </w:r>
      <w:r>
        <w:rPr>
          <w:rFonts w:hint="eastAsia" w:ascii="仿宋_GB2312" w:hAnsi="仿宋_GB2312" w:eastAsia="仿宋_GB2312" w:cs="仿宋_GB2312"/>
          <w:color w:val="auto"/>
          <w:sz w:val="32"/>
          <w:szCs w:val="32"/>
          <w:highlight w:val="none"/>
          <w:lang w:val="en-US" w:eastAsia="zh-CN"/>
        </w:rPr>
        <w:t>见表5</w:t>
      </w:r>
      <w:r>
        <w:rPr>
          <w:rFonts w:hint="eastAsia" w:ascii="仿宋_GB2312" w:hAnsi="仿宋_GB2312" w:eastAsia="仿宋_GB2312" w:cs="仿宋_GB2312"/>
          <w:color w:val="auto"/>
          <w:sz w:val="32"/>
          <w:szCs w:val="32"/>
          <w:highlight w:val="none"/>
        </w:rPr>
        <w:t>：</w:t>
      </w:r>
    </w:p>
    <w:p w14:paraId="37774244">
      <w:pPr>
        <w:pStyle w:val="8"/>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表5   评价结果等次表</w:t>
      </w:r>
    </w:p>
    <w:tbl>
      <w:tblPr>
        <w:tblStyle w:val="1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1264"/>
        <w:gridCol w:w="2028"/>
        <w:gridCol w:w="2262"/>
        <w:gridCol w:w="1363"/>
      </w:tblGrid>
      <w:tr w14:paraId="05CE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92" w:type="dxa"/>
            <w:tcBorders>
              <w:left w:val="nil"/>
            </w:tcBorders>
            <w:shd w:val="clear" w:color="auto" w:fill="D7D7D7"/>
            <w:noWrap w:val="0"/>
            <w:vAlign w:val="center"/>
          </w:tcPr>
          <w:p w14:paraId="6106C5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评价等次</w:t>
            </w:r>
          </w:p>
        </w:tc>
        <w:tc>
          <w:tcPr>
            <w:tcW w:w="1264" w:type="dxa"/>
            <w:shd w:val="clear" w:color="auto" w:fill="D7D7D7"/>
            <w:noWrap w:val="0"/>
            <w:vAlign w:val="center"/>
          </w:tcPr>
          <w:p w14:paraId="2C57071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优</w:t>
            </w:r>
            <w:r>
              <w:rPr>
                <w:rFonts w:hint="eastAsia" w:ascii="仿宋_GB2312" w:hAnsi="仿宋_GB2312" w:eastAsia="仿宋_GB2312" w:cs="仿宋_GB2312"/>
                <w:b/>
                <w:bCs/>
                <w:color w:val="auto"/>
                <w:sz w:val="24"/>
                <w:szCs w:val="24"/>
                <w:highlight w:val="none"/>
                <w:lang w:val="en-US" w:eastAsia="zh-CN"/>
              </w:rPr>
              <w:t>秀</w:t>
            </w:r>
          </w:p>
        </w:tc>
        <w:tc>
          <w:tcPr>
            <w:tcW w:w="2028" w:type="dxa"/>
            <w:shd w:val="clear" w:color="auto" w:fill="D7D7D7"/>
            <w:noWrap w:val="0"/>
            <w:vAlign w:val="center"/>
          </w:tcPr>
          <w:p w14:paraId="7D33D4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良</w:t>
            </w:r>
            <w:r>
              <w:rPr>
                <w:rFonts w:hint="eastAsia" w:ascii="仿宋_GB2312" w:hAnsi="仿宋_GB2312" w:eastAsia="仿宋_GB2312" w:cs="仿宋_GB2312"/>
                <w:b/>
                <w:bCs/>
                <w:color w:val="auto"/>
                <w:sz w:val="24"/>
                <w:szCs w:val="24"/>
                <w:highlight w:val="none"/>
                <w:lang w:val="en-US" w:eastAsia="zh-CN"/>
              </w:rPr>
              <w:t>好</w:t>
            </w:r>
          </w:p>
        </w:tc>
        <w:tc>
          <w:tcPr>
            <w:tcW w:w="2262" w:type="dxa"/>
            <w:shd w:val="clear" w:color="auto" w:fill="D7D7D7"/>
            <w:noWrap w:val="0"/>
            <w:vAlign w:val="center"/>
          </w:tcPr>
          <w:p w14:paraId="72643A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一般</w:t>
            </w:r>
          </w:p>
        </w:tc>
        <w:tc>
          <w:tcPr>
            <w:tcW w:w="1363" w:type="dxa"/>
            <w:tcBorders>
              <w:right w:val="nil"/>
            </w:tcBorders>
            <w:shd w:val="clear" w:color="auto" w:fill="D7D7D7"/>
            <w:noWrap w:val="0"/>
            <w:vAlign w:val="center"/>
          </w:tcPr>
          <w:p w14:paraId="7D1F74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差</w:t>
            </w:r>
          </w:p>
        </w:tc>
      </w:tr>
      <w:tr w14:paraId="7317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92" w:type="dxa"/>
            <w:tcBorders>
              <w:left w:val="nil"/>
            </w:tcBorders>
            <w:noWrap w:val="0"/>
            <w:vAlign w:val="center"/>
          </w:tcPr>
          <w:p w14:paraId="008D025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分值S</w:t>
            </w:r>
          </w:p>
        </w:tc>
        <w:tc>
          <w:tcPr>
            <w:tcW w:w="1264" w:type="dxa"/>
            <w:noWrap w:val="0"/>
            <w:vAlign w:val="center"/>
          </w:tcPr>
          <w:p w14:paraId="49DA082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S ≥ 90</w:t>
            </w:r>
          </w:p>
        </w:tc>
        <w:tc>
          <w:tcPr>
            <w:tcW w:w="2028" w:type="dxa"/>
            <w:noWrap w:val="0"/>
            <w:vAlign w:val="center"/>
          </w:tcPr>
          <w:p w14:paraId="21E47E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90＞ S ≥ 80</w:t>
            </w:r>
          </w:p>
        </w:tc>
        <w:tc>
          <w:tcPr>
            <w:tcW w:w="2262" w:type="dxa"/>
            <w:noWrap w:val="0"/>
            <w:vAlign w:val="center"/>
          </w:tcPr>
          <w:p w14:paraId="787D67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80 ＞ S ≥ 60</w:t>
            </w:r>
          </w:p>
        </w:tc>
        <w:tc>
          <w:tcPr>
            <w:tcW w:w="1363" w:type="dxa"/>
            <w:tcBorders>
              <w:right w:val="nil"/>
            </w:tcBorders>
            <w:noWrap w:val="0"/>
            <w:vAlign w:val="center"/>
          </w:tcPr>
          <w:p w14:paraId="36CBF0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S ＜ 60</w:t>
            </w:r>
          </w:p>
        </w:tc>
      </w:tr>
    </w:tbl>
    <w:p w14:paraId="145E38E3">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（四）绩效评价工作过程</w:t>
      </w:r>
    </w:p>
    <w:p w14:paraId="068AA907">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为了做好本次绩效评价工作，</w:t>
      </w:r>
      <w:r>
        <w:rPr>
          <w:rFonts w:hint="eastAsia" w:ascii="仿宋_GB2312" w:hAnsi="仿宋_GB2312" w:eastAsia="仿宋_GB2312" w:cs="仿宋_GB2312"/>
          <w:color w:val="auto"/>
          <w:sz w:val="32"/>
          <w:szCs w:val="32"/>
          <w:highlight w:val="none"/>
          <w:lang w:val="en-US" w:eastAsia="zh-CN"/>
        </w:rPr>
        <w:t>我们</w:t>
      </w:r>
      <w:r>
        <w:rPr>
          <w:rFonts w:hint="eastAsia" w:ascii="仿宋_GB2312" w:hAnsi="仿宋_GB2312" w:eastAsia="仿宋_GB2312" w:cs="仿宋_GB2312"/>
          <w:color w:val="auto"/>
          <w:sz w:val="32"/>
          <w:szCs w:val="32"/>
          <w:highlight w:val="none"/>
        </w:rPr>
        <w:t>成立绩效评价工作</w:t>
      </w:r>
      <w:r>
        <w:rPr>
          <w:rFonts w:hint="eastAsia" w:ascii="仿宋_GB2312" w:hAnsi="仿宋_GB2312" w:eastAsia="仿宋_GB2312" w:cs="仿宋_GB2312"/>
          <w:color w:val="auto"/>
          <w:sz w:val="32"/>
          <w:szCs w:val="32"/>
          <w:highlight w:val="none"/>
          <w:lang w:eastAsia="zh-CN"/>
        </w:rPr>
        <w:t>小</w:t>
      </w:r>
      <w:r>
        <w:rPr>
          <w:rFonts w:hint="eastAsia" w:ascii="仿宋_GB2312" w:hAnsi="仿宋_GB2312" w:eastAsia="仿宋_GB2312" w:cs="仿宋_GB2312"/>
          <w:color w:val="auto"/>
          <w:sz w:val="32"/>
          <w:szCs w:val="32"/>
          <w:highlight w:val="none"/>
        </w:rPr>
        <w:t>组，</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准备阶段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实施阶段（</w:t>
      </w:r>
      <w:r>
        <w:rPr>
          <w:rFonts w:hint="default" w:ascii="仿宋_GB2312" w:hAnsi="仿宋_GB2312" w:eastAsia="仿宋_GB2312" w:cs="仿宋_GB2312"/>
          <w:color w:val="auto"/>
          <w:sz w:val="32"/>
          <w:szCs w:val="32"/>
          <w:highlight w:val="none"/>
          <w:lang w:val="en-US" w:eastAsia="zh-CN"/>
        </w:rPr>
        <w:t>资料收集和初审</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现场考察</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数据整理与分析</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综合评价</w:t>
      </w:r>
      <w:r>
        <w:rPr>
          <w:rFonts w:hint="eastAsia" w:ascii="仿宋_GB2312" w:hAnsi="仿宋_GB2312" w:eastAsia="仿宋_GB2312" w:cs="仿宋_GB2312"/>
          <w:color w:val="auto"/>
          <w:sz w:val="32"/>
          <w:szCs w:val="32"/>
          <w:highlight w:val="none"/>
          <w:lang w:val="en-US" w:eastAsia="zh-CN"/>
        </w:rPr>
        <w:t>）、报告撰写与提交阶段（</w:t>
      </w:r>
      <w:r>
        <w:rPr>
          <w:rFonts w:hint="default" w:ascii="仿宋_GB2312" w:hAnsi="仿宋_GB2312" w:eastAsia="仿宋_GB2312" w:cs="仿宋_GB2312"/>
          <w:color w:val="auto"/>
          <w:sz w:val="32"/>
          <w:szCs w:val="32"/>
          <w:highlight w:val="none"/>
          <w:lang w:val="en-US" w:eastAsia="zh-CN"/>
        </w:rPr>
        <w:t>撰写评价报告</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提交报告</w:t>
      </w:r>
      <w:r>
        <w:rPr>
          <w:rFonts w:hint="eastAsia" w:ascii="仿宋_GB2312" w:hAnsi="仿宋_GB2312" w:eastAsia="仿宋_GB2312" w:cs="仿宋_GB2312"/>
          <w:color w:val="auto"/>
          <w:sz w:val="32"/>
          <w:szCs w:val="32"/>
          <w:highlight w:val="none"/>
          <w:lang w:val="en-US" w:eastAsia="zh-CN"/>
        </w:rPr>
        <w:t>等）和</w:t>
      </w:r>
      <w:r>
        <w:rPr>
          <w:rFonts w:hint="default" w:ascii="仿宋_GB2312" w:hAnsi="仿宋_GB2312" w:eastAsia="仿宋_GB2312" w:cs="仿宋_GB2312"/>
          <w:color w:val="auto"/>
          <w:sz w:val="32"/>
          <w:szCs w:val="32"/>
          <w:highlight w:val="none"/>
          <w:lang w:val="en-US" w:eastAsia="zh-CN"/>
        </w:rPr>
        <w:t>结果应用</w:t>
      </w:r>
      <w:r>
        <w:rPr>
          <w:rFonts w:hint="eastAsia" w:ascii="仿宋_GB2312" w:hAnsi="仿宋_GB2312" w:eastAsia="仿宋_GB2312" w:cs="仿宋_GB2312"/>
          <w:color w:val="auto"/>
          <w:sz w:val="32"/>
          <w:szCs w:val="32"/>
          <w:highlight w:val="none"/>
          <w:lang w:val="en-US" w:eastAsia="zh-CN"/>
        </w:rPr>
        <w:t>四个</w:t>
      </w:r>
      <w:r>
        <w:rPr>
          <w:rFonts w:hint="default" w:ascii="仿宋_GB2312" w:hAnsi="仿宋_GB2312" w:eastAsia="仿宋_GB2312" w:cs="仿宋_GB2312"/>
          <w:color w:val="auto"/>
          <w:sz w:val="32"/>
          <w:szCs w:val="32"/>
          <w:highlight w:val="none"/>
          <w:lang w:val="en-US" w:eastAsia="zh-CN"/>
        </w:rPr>
        <w:t>阶段</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采取项目单位自评、收集项目相关资料、数据分析、现场调查和问卷调查相结合的方法</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color w:val="auto"/>
          <w:sz w:val="32"/>
          <w:szCs w:val="32"/>
          <w:highlight w:val="none"/>
        </w:rPr>
        <w:t>该</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开展了现场评价。经过分析研究，并征求相关部门意见，得出该项目绩效评价结论</w:t>
      </w:r>
      <w:r>
        <w:rPr>
          <w:rFonts w:hint="default" w:ascii="仿宋_GB2312" w:hAnsi="仿宋_GB2312" w:eastAsia="仿宋_GB2312" w:cs="仿宋_GB2312"/>
          <w:color w:val="auto"/>
          <w:sz w:val="32"/>
          <w:szCs w:val="32"/>
          <w:highlight w:val="none"/>
          <w:lang w:val="en-US" w:eastAsia="zh-CN"/>
        </w:rPr>
        <w:t>。</w:t>
      </w:r>
    </w:p>
    <w:p w14:paraId="280F5FA2">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（五）评价局限性</w:t>
      </w:r>
    </w:p>
    <w:p w14:paraId="27E8BDE0">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尽管评价组在评价中力求科学、规范、客观和公正，但在实际评价过程中依然存在局限性：一是由于评价时间、人力等限制，获取数据与信息来源存在局限性；二是评价工作人员知识面、经验等限制，在理解和判断上存在认知局限性；三是受问卷调查覆盖面及被调查者认知、愿望等方面的主观倾向性限制，公众满意度测评结果可能存在一定局限性。</w:t>
      </w:r>
    </w:p>
    <w:p w14:paraId="1CA9D88C">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三、综合评价情况及评价结论（附相关评分表） </w:t>
      </w:r>
    </w:p>
    <w:p w14:paraId="13765011">
      <w:pPr>
        <w:keepNext w:val="0"/>
        <w:keepLines w:val="0"/>
        <w:pageBreakBefore w:val="0"/>
        <w:widowControl w:val="0"/>
        <w:kinsoku/>
        <w:wordWrap/>
        <w:overflowPunct/>
        <w:topLinePunct w:val="0"/>
        <w:autoSpaceDE/>
        <w:autoSpaceDN/>
        <w:bidi w:val="0"/>
        <w:adjustRightInd/>
        <w:snapToGrid/>
        <w:spacing w:line="560" w:lineRule="exact"/>
        <w:ind w:firstLine="646"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kern w:val="2"/>
          <w:sz w:val="32"/>
          <w:szCs w:val="32"/>
          <w:lang w:bidi="ar-SA"/>
        </w:rPr>
        <w:t>2024年扶风县杏林镇污水处理厂运行补助资金项目的资金安排符合相关法律法规及政策要求，符合国家财政专项资金的支持方向，充分满足了扶风县杏林镇污水处理厂稳定运行的实际需求。</w:t>
      </w:r>
      <w:r>
        <w:rPr>
          <w:rFonts w:hint="eastAsia" w:ascii="仿宋_GB2312" w:hAnsi="仿宋_GB2312" w:eastAsia="仿宋_GB2312" w:cs="仿宋_GB2312"/>
          <w:color w:val="auto"/>
          <w:sz w:val="32"/>
          <w:szCs w:val="32"/>
          <w:highlight w:val="none"/>
          <w:lang w:val="en-US" w:eastAsia="zh-CN"/>
        </w:rPr>
        <w:t>立项依据充分、程序规范，资金到位及时且使用合规，项目产出数量、质量指标完成较好，项目社会效益、生态效益较好。但污水处理厂的管理有待提升、制度制定尚不完善、绩效管理工作也需进一步加强。结合单位自评、信息采集、问卷调查等情况，经评价组认真评价，项目绩效评价综合得分85.93分，整体评价结论为良好，详见表6。</w:t>
      </w:r>
    </w:p>
    <w:p w14:paraId="6BF1DB55">
      <w:pPr>
        <w:keepNext w:val="0"/>
        <w:keepLines w:val="0"/>
        <w:widowControl/>
        <w:suppressLineNumbers w:val="0"/>
        <w:ind w:firstLine="2547" w:firstLineChars="900"/>
        <w:jc w:val="left"/>
        <w:rPr>
          <w:color w:val="auto"/>
          <w:highlight w:val="none"/>
        </w:rPr>
      </w:pPr>
      <w:r>
        <w:rPr>
          <w:rFonts w:ascii="仿宋_GB2312" w:hAnsi="宋体" w:eastAsia="仿宋_GB2312" w:cs="仿宋_GB2312"/>
          <w:b/>
          <w:bCs/>
          <w:color w:val="auto"/>
          <w:kern w:val="0"/>
          <w:sz w:val="28"/>
          <w:szCs w:val="28"/>
          <w:highlight w:val="none"/>
          <w:lang w:val="en-US" w:eastAsia="zh-CN" w:bidi="ar"/>
        </w:rPr>
        <w:t>表</w:t>
      </w:r>
      <w:r>
        <w:rPr>
          <w:rFonts w:hint="eastAsia" w:ascii="仿宋_GB2312" w:hAnsi="宋体" w:eastAsia="仿宋_GB2312" w:cs="仿宋_GB2312"/>
          <w:b/>
          <w:bCs/>
          <w:color w:val="auto"/>
          <w:kern w:val="0"/>
          <w:sz w:val="28"/>
          <w:szCs w:val="28"/>
          <w:highlight w:val="none"/>
          <w:lang w:val="en-US" w:eastAsia="zh-CN" w:bidi="ar"/>
        </w:rPr>
        <w:t>6   项目</w:t>
      </w:r>
      <w:r>
        <w:rPr>
          <w:rFonts w:ascii="仿宋_GB2312" w:hAnsi="宋体" w:eastAsia="仿宋_GB2312" w:cs="仿宋_GB2312"/>
          <w:b/>
          <w:bCs/>
          <w:color w:val="auto"/>
          <w:kern w:val="0"/>
          <w:sz w:val="28"/>
          <w:szCs w:val="28"/>
          <w:highlight w:val="none"/>
          <w:lang w:val="en-US" w:eastAsia="zh-CN" w:bidi="ar"/>
        </w:rPr>
        <w:t>指标评分表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2313"/>
        <w:gridCol w:w="2216"/>
        <w:gridCol w:w="2071"/>
      </w:tblGrid>
      <w:tr w14:paraId="179E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117" w:type="dxa"/>
            <w:shd w:val="clear" w:color="auto" w:fill="D7D7D7"/>
            <w:noWrap w:val="0"/>
            <w:vAlign w:val="center"/>
          </w:tcPr>
          <w:p w14:paraId="464AD5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一级指标</w:t>
            </w:r>
          </w:p>
        </w:tc>
        <w:tc>
          <w:tcPr>
            <w:tcW w:w="2313" w:type="dxa"/>
            <w:shd w:val="clear" w:color="auto" w:fill="D7D7D7"/>
            <w:noWrap w:val="0"/>
            <w:vAlign w:val="center"/>
          </w:tcPr>
          <w:p w14:paraId="1314B2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分值</w:t>
            </w:r>
          </w:p>
        </w:tc>
        <w:tc>
          <w:tcPr>
            <w:tcW w:w="2216" w:type="dxa"/>
            <w:shd w:val="clear" w:color="auto" w:fill="D7D7D7"/>
            <w:noWrap w:val="0"/>
            <w:vAlign w:val="center"/>
          </w:tcPr>
          <w:p w14:paraId="232A3A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得分</w:t>
            </w:r>
          </w:p>
        </w:tc>
        <w:tc>
          <w:tcPr>
            <w:tcW w:w="2071" w:type="dxa"/>
            <w:shd w:val="clear" w:color="auto" w:fill="D7D7D7"/>
            <w:noWrap w:val="0"/>
            <w:vAlign w:val="center"/>
          </w:tcPr>
          <w:p w14:paraId="2CD9AC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得分率</w:t>
            </w:r>
          </w:p>
        </w:tc>
      </w:tr>
      <w:tr w14:paraId="5DFD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117" w:type="dxa"/>
            <w:noWrap w:val="0"/>
            <w:vAlign w:val="center"/>
          </w:tcPr>
          <w:p w14:paraId="580F2F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项目决策</w:t>
            </w:r>
          </w:p>
        </w:tc>
        <w:tc>
          <w:tcPr>
            <w:tcW w:w="2313" w:type="dxa"/>
            <w:noWrap w:val="0"/>
            <w:vAlign w:val="center"/>
          </w:tcPr>
          <w:p w14:paraId="17DBD7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12</w:t>
            </w:r>
          </w:p>
        </w:tc>
        <w:tc>
          <w:tcPr>
            <w:tcW w:w="2216" w:type="dxa"/>
            <w:noWrap w:val="0"/>
            <w:vAlign w:val="center"/>
          </w:tcPr>
          <w:p w14:paraId="3FAF56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10.80</w:t>
            </w:r>
          </w:p>
        </w:tc>
        <w:tc>
          <w:tcPr>
            <w:tcW w:w="2071" w:type="dxa"/>
            <w:noWrap w:val="0"/>
            <w:vAlign w:val="center"/>
          </w:tcPr>
          <w:p w14:paraId="7F2F94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90.00%</w:t>
            </w:r>
          </w:p>
        </w:tc>
      </w:tr>
      <w:tr w14:paraId="27D2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117" w:type="dxa"/>
            <w:noWrap w:val="0"/>
            <w:vAlign w:val="center"/>
          </w:tcPr>
          <w:p w14:paraId="60BB7A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项目过程</w:t>
            </w:r>
          </w:p>
        </w:tc>
        <w:tc>
          <w:tcPr>
            <w:tcW w:w="2313" w:type="dxa"/>
            <w:noWrap w:val="0"/>
            <w:vAlign w:val="center"/>
          </w:tcPr>
          <w:p w14:paraId="43A02C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16</w:t>
            </w:r>
          </w:p>
        </w:tc>
        <w:tc>
          <w:tcPr>
            <w:tcW w:w="2216" w:type="dxa"/>
            <w:noWrap w:val="0"/>
            <w:vAlign w:val="center"/>
          </w:tcPr>
          <w:p w14:paraId="53E4D1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14.00</w:t>
            </w:r>
          </w:p>
        </w:tc>
        <w:tc>
          <w:tcPr>
            <w:tcW w:w="2071" w:type="dxa"/>
            <w:noWrap w:val="0"/>
            <w:vAlign w:val="center"/>
          </w:tcPr>
          <w:p w14:paraId="188866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87.50%</w:t>
            </w:r>
          </w:p>
        </w:tc>
      </w:tr>
      <w:tr w14:paraId="579D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117" w:type="dxa"/>
            <w:noWrap w:val="0"/>
            <w:vAlign w:val="center"/>
          </w:tcPr>
          <w:p w14:paraId="47CC95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项目成本</w:t>
            </w:r>
          </w:p>
        </w:tc>
        <w:tc>
          <w:tcPr>
            <w:tcW w:w="2313" w:type="dxa"/>
            <w:noWrap w:val="0"/>
            <w:vAlign w:val="center"/>
          </w:tcPr>
          <w:p w14:paraId="7A0724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13</w:t>
            </w:r>
          </w:p>
        </w:tc>
        <w:tc>
          <w:tcPr>
            <w:tcW w:w="2216" w:type="dxa"/>
            <w:noWrap w:val="0"/>
            <w:vAlign w:val="center"/>
          </w:tcPr>
          <w:p w14:paraId="33DF88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8.00</w:t>
            </w:r>
          </w:p>
        </w:tc>
        <w:tc>
          <w:tcPr>
            <w:tcW w:w="2071" w:type="dxa"/>
            <w:noWrap w:val="0"/>
            <w:vAlign w:val="center"/>
          </w:tcPr>
          <w:p w14:paraId="7798F9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61.54%</w:t>
            </w:r>
          </w:p>
        </w:tc>
      </w:tr>
      <w:tr w14:paraId="0CEB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117" w:type="dxa"/>
            <w:noWrap w:val="0"/>
            <w:vAlign w:val="center"/>
          </w:tcPr>
          <w:p w14:paraId="257713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项目产出</w:t>
            </w:r>
          </w:p>
        </w:tc>
        <w:tc>
          <w:tcPr>
            <w:tcW w:w="2313" w:type="dxa"/>
            <w:noWrap w:val="0"/>
            <w:vAlign w:val="center"/>
          </w:tcPr>
          <w:p w14:paraId="5B959B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25</w:t>
            </w:r>
          </w:p>
        </w:tc>
        <w:tc>
          <w:tcPr>
            <w:tcW w:w="2216" w:type="dxa"/>
            <w:noWrap w:val="0"/>
            <w:vAlign w:val="center"/>
          </w:tcPr>
          <w:p w14:paraId="4CD209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25.00</w:t>
            </w:r>
          </w:p>
        </w:tc>
        <w:tc>
          <w:tcPr>
            <w:tcW w:w="2071" w:type="dxa"/>
            <w:noWrap w:val="0"/>
            <w:vAlign w:val="center"/>
          </w:tcPr>
          <w:p w14:paraId="6A2752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100.00%</w:t>
            </w:r>
          </w:p>
        </w:tc>
      </w:tr>
      <w:tr w14:paraId="15C6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117" w:type="dxa"/>
            <w:noWrap w:val="0"/>
            <w:vAlign w:val="center"/>
          </w:tcPr>
          <w:p w14:paraId="38B9B2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项目效益</w:t>
            </w:r>
          </w:p>
        </w:tc>
        <w:tc>
          <w:tcPr>
            <w:tcW w:w="2313" w:type="dxa"/>
            <w:noWrap w:val="0"/>
            <w:vAlign w:val="center"/>
          </w:tcPr>
          <w:p w14:paraId="34F1B8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fldChar w:fldCharType="begin"/>
            </w:r>
            <w:r>
              <w:rPr>
                <w:rFonts w:hint="eastAsia" w:ascii="仿宋_GB2312" w:hAnsi="仿宋_GB2312" w:eastAsia="仿宋_GB2312" w:cs="仿宋_GB2312"/>
                <w:b w:val="0"/>
                <w:bCs w:val="0"/>
                <w:color w:val="auto"/>
                <w:kern w:val="0"/>
                <w:sz w:val="24"/>
                <w:szCs w:val="24"/>
                <w:highlight w:val="none"/>
                <w:lang w:val="en-US" w:eastAsia="zh-CN" w:bidi="ar"/>
              </w:rPr>
              <w:instrText xml:space="preserve"> = sum(E2:E9) \* MERGEFORMAT </w:instrText>
            </w:r>
            <w:r>
              <w:rPr>
                <w:rFonts w:hint="eastAsia" w:ascii="仿宋_GB2312" w:hAnsi="仿宋_GB2312" w:eastAsia="仿宋_GB2312" w:cs="仿宋_GB2312"/>
                <w:b w:val="0"/>
                <w:bCs w:val="0"/>
                <w:color w:val="auto"/>
                <w:kern w:val="0"/>
                <w:sz w:val="24"/>
                <w:szCs w:val="24"/>
                <w:highlight w:val="none"/>
                <w:lang w:val="en-US" w:eastAsia="zh-CN" w:bidi="ar"/>
              </w:rPr>
              <w:fldChar w:fldCharType="separate"/>
            </w:r>
            <w:r>
              <w:rPr>
                <w:rFonts w:hint="eastAsia" w:ascii="仿宋_GB2312" w:hAnsi="仿宋_GB2312" w:eastAsia="仿宋_GB2312" w:cs="仿宋_GB2312"/>
                <w:b w:val="0"/>
                <w:bCs w:val="0"/>
                <w:color w:val="auto"/>
                <w:kern w:val="0"/>
                <w:sz w:val="24"/>
                <w:szCs w:val="24"/>
                <w:highlight w:val="none"/>
                <w:lang w:val="en-US" w:eastAsia="zh-CN" w:bidi="ar"/>
              </w:rPr>
              <w:t>34</w:t>
            </w:r>
            <w:r>
              <w:rPr>
                <w:rFonts w:hint="eastAsia" w:ascii="仿宋_GB2312" w:hAnsi="仿宋_GB2312" w:eastAsia="仿宋_GB2312" w:cs="仿宋_GB2312"/>
                <w:b w:val="0"/>
                <w:bCs w:val="0"/>
                <w:color w:val="auto"/>
                <w:kern w:val="0"/>
                <w:sz w:val="24"/>
                <w:szCs w:val="24"/>
                <w:highlight w:val="none"/>
                <w:lang w:val="en-US" w:eastAsia="zh-CN" w:bidi="ar"/>
              </w:rPr>
              <w:fldChar w:fldCharType="end"/>
            </w:r>
          </w:p>
        </w:tc>
        <w:tc>
          <w:tcPr>
            <w:tcW w:w="2216" w:type="dxa"/>
            <w:noWrap w:val="0"/>
            <w:vAlign w:val="center"/>
          </w:tcPr>
          <w:p w14:paraId="0F5DDB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28.13</w:t>
            </w:r>
          </w:p>
        </w:tc>
        <w:tc>
          <w:tcPr>
            <w:tcW w:w="2071" w:type="dxa"/>
            <w:noWrap w:val="0"/>
            <w:vAlign w:val="center"/>
          </w:tcPr>
          <w:p w14:paraId="45A4DC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82.74%</w:t>
            </w:r>
          </w:p>
        </w:tc>
      </w:tr>
      <w:tr w14:paraId="5051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117" w:type="dxa"/>
            <w:noWrap w:val="0"/>
            <w:vAlign w:val="center"/>
          </w:tcPr>
          <w:p w14:paraId="3A91E8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宋体" w:eastAsia="仿宋_GB2312" w:cs="仿宋_GB2312"/>
                <w:b/>
                <w:bCs/>
                <w:color w:val="auto"/>
                <w:kern w:val="0"/>
                <w:sz w:val="24"/>
                <w:szCs w:val="24"/>
                <w:highlight w:val="none"/>
                <w:lang w:val="en-US" w:eastAsia="zh-CN" w:bidi="ar"/>
              </w:rPr>
            </w:pPr>
            <w:r>
              <w:rPr>
                <w:rFonts w:hint="eastAsia" w:ascii="仿宋_GB2312" w:hAnsi="宋体" w:eastAsia="仿宋_GB2312" w:cs="仿宋_GB2312"/>
                <w:b/>
                <w:bCs/>
                <w:color w:val="auto"/>
                <w:kern w:val="0"/>
                <w:sz w:val="24"/>
                <w:szCs w:val="24"/>
                <w:highlight w:val="none"/>
                <w:lang w:val="en-US" w:eastAsia="zh-CN" w:bidi="ar"/>
              </w:rPr>
              <w:t>合计</w:t>
            </w:r>
          </w:p>
        </w:tc>
        <w:tc>
          <w:tcPr>
            <w:tcW w:w="2313" w:type="dxa"/>
            <w:noWrap w:val="0"/>
            <w:vAlign w:val="center"/>
          </w:tcPr>
          <w:p w14:paraId="1DC57B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fldChar w:fldCharType="begin"/>
            </w:r>
            <w:r>
              <w:rPr>
                <w:rFonts w:hint="eastAsia" w:ascii="仿宋_GB2312" w:hAnsi="仿宋_GB2312" w:eastAsia="仿宋_GB2312" w:cs="仿宋_GB2312"/>
                <w:b/>
                <w:bCs/>
                <w:color w:val="auto"/>
                <w:kern w:val="0"/>
                <w:sz w:val="24"/>
                <w:szCs w:val="24"/>
                <w:highlight w:val="none"/>
                <w:lang w:val="en-US" w:eastAsia="zh-CN" w:bidi="ar"/>
              </w:rPr>
              <w:instrText xml:space="preserve"> = sum(B2:B6) \* MERGEFORMAT </w:instrText>
            </w:r>
            <w:r>
              <w:rPr>
                <w:rFonts w:hint="eastAsia" w:ascii="仿宋_GB2312" w:hAnsi="仿宋_GB2312" w:eastAsia="仿宋_GB2312" w:cs="仿宋_GB2312"/>
                <w:b/>
                <w:bCs/>
                <w:color w:val="auto"/>
                <w:kern w:val="0"/>
                <w:sz w:val="24"/>
                <w:szCs w:val="24"/>
                <w:highlight w:val="none"/>
                <w:lang w:val="en-US" w:eastAsia="zh-CN" w:bidi="ar"/>
              </w:rPr>
              <w:fldChar w:fldCharType="separate"/>
            </w:r>
            <w:r>
              <w:rPr>
                <w:rFonts w:hint="eastAsia" w:ascii="仿宋_GB2312" w:hAnsi="仿宋_GB2312" w:eastAsia="仿宋_GB2312" w:cs="仿宋_GB2312"/>
                <w:b/>
                <w:bCs/>
                <w:color w:val="auto"/>
                <w:kern w:val="0"/>
                <w:sz w:val="24"/>
                <w:szCs w:val="24"/>
                <w:highlight w:val="none"/>
                <w:lang w:val="en-US" w:eastAsia="zh-CN" w:bidi="ar"/>
              </w:rPr>
              <w:t>100</w:t>
            </w:r>
            <w:r>
              <w:rPr>
                <w:rFonts w:hint="eastAsia" w:ascii="仿宋_GB2312" w:hAnsi="仿宋_GB2312" w:eastAsia="仿宋_GB2312" w:cs="仿宋_GB2312"/>
                <w:b/>
                <w:bCs/>
                <w:color w:val="auto"/>
                <w:kern w:val="0"/>
                <w:sz w:val="24"/>
                <w:szCs w:val="24"/>
                <w:highlight w:val="none"/>
                <w:lang w:val="en-US" w:eastAsia="zh-CN" w:bidi="ar"/>
              </w:rPr>
              <w:fldChar w:fldCharType="end"/>
            </w:r>
          </w:p>
        </w:tc>
        <w:tc>
          <w:tcPr>
            <w:tcW w:w="2216" w:type="dxa"/>
            <w:noWrap w:val="0"/>
            <w:vAlign w:val="center"/>
          </w:tcPr>
          <w:p w14:paraId="60D4F2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fldChar w:fldCharType="begin"/>
            </w:r>
            <w:r>
              <w:rPr>
                <w:rFonts w:hint="eastAsia" w:ascii="仿宋_GB2312" w:hAnsi="仿宋_GB2312" w:eastAsia="仿宋_GB2312" w:cs="仿宋_GB2312"/>
                <w:b/>
                <w:bCs/>
                <w:color w:val="auto"/>
                <w:kern w:val="0"/>
                <w:sz w:val="24"/>
                <w:szCs w:val="24"/>
                <w:highlight w:val="none"/>
                <w:lang w:val="en-US" w:eastAsia="zh-CN" w:bidi="ar"/>
              </w:rPr>
              <w:instrText xml:space="preserve"> = sum(C2:C6) \* MERGEFORMAT </w:instrText>
            </w:r>
            <w:r>
              <w:rPr>
                <w:rFonts w:hint="eastAsia" w:ascii="仿宋_GB2312" w:hAnsi="仿宋_GB2312" w:eastAsia="仿宋_GB2312" w:cs="仿宋_GB2312"/>
                <w:b/>
                <w:bCs/>
                <w:color w:val="auto"/>
                <w:kern w:val="0"/>
                <w:sz w:val="24"/>
                <w:szCs w:val="24"/>
                <w:highlight w:val="none"/>
                <w:lang w:val="en-US" w:eastAsia="zh-CN" w:bidi="ar"/>
              </w:rPr>
              <w:fldChar w:fldCharType="separate"/>
            </w:r>
            <w:r>
              <w:rPr>
                <w:rFonts w:hint="eastAsia" w:ascii="仿宋_GB2312" w:hAnsi="仿宋_GB2312" w:eastAsia="仿宋_GB2312" w:cs="仿宋_GB2312"/>
                <w:b/>
                <w:bCs/>
                <w:color w:val="auto"/>
                <w:kern w:val="0"/>
                <w:sz w:val="24"/>
                <w:szCs w:val="24"/>
                <w:highlight w:val="none"/>
                <w:lang w:val="en-US" w:eastAsia="zh-CN" w:bidi="ar"/>
              </w:rPr>
              <w:t>85.93</w:t>
            </w:r>
            <w:r>
              <w:rPr>
                <w:rFonts w:hint="eastAsia" w:ascii="仿宋_GB2312" w:hAnsi="仿宋_GB2312" w:eastAsia="仿宋_GB2312" w:cs="仿宋_GB2312"/>
                <w:b/>
                <w:bCs/>
                <w:color w:val="auto"/>
                <w:kern w:val="0"/>
                <w:sz w:val="24"/>
                <w:szCs w:val="24"/>
                <w:highlight w:val="none"/>
                <w:lang w:val="en-US" w:eastAsia="zh-CN" w:bidi="ar"/>
              </w:rPr>
              <w:fldChar w:fldCharType="end"/>
            </w:r>
          </w:p>
        </w:tc>
        <w:tc>
          <w:tcPr>
            <w:tcW w:w="2071" w:type="dxa"/>
            <w:noWrap w:val="0"/>
            <w:vAlign w:val="center"/>
          </w:tcPr>
          <w:p w14:paraId="4B2673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85.93%</w:t>
            </w:r>
          </w:p>
        </w:tc>
      </w:tr>
      <w:tr w14:paraId="681D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7" w:type="dxa"/>
            <w:gridSpan w:val="4"/>
            <w:noWrap w:val="0"/>
            <w:vAlign w:val="center"/>
          </w:tcPr>
          <w:p w14:paraId="63F702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绩效评价得分：85.93    综合评价结果等级：良好</w:t>
            </w:r>
          </w:p>
        </w:tc>
      </w:tr>
    </w:tbl>
    <w:p w14:paraId="0498F216">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 w:hAnsi="仿宋" w:eastAsia="仿宋" w:cs="仿宋"/>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四、绩效评价指标分析</w:t>
      </w:r>
    </w:p>
    <w:p w14:paraId="32D7F3DF">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（一）项目决策情况</w:t>
      </w:r>
    </w:p>
    <w:p w14:paraId="60891633">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项目决策</w:t>
      </w:r>
      <w:r>
        <w:rPr>
          <w:rFonts w:hint="eastAsia" w:ascii="仿宋_GB2312" w:hAnsi="仿宋_GB2312" w:eastAsia="仿宋_GB2312" w:cs="仿宋_GB2312"/>
          <w:color w:val="auto"/>
          <w:sz w:val="32"/>
          <w:szCs w:val="32"/>
          <w:highlight w:val="none"/>
        </w:rPr>
        <w:t>从项目立项、绩效目标、</w:t>
      </w:r>
      <w:r>
        <w:rPr>
          <w:rFonts w:hint="eastAsia" w:ascii="仿宋_GB2312" w:hAnsi="仿宋_GB2312" w:eastAsia="仿宋_GB2312" w:cs="仿宋_GB2312"/>
          <w:color w:val="auto"/>
          <w:sz w:val="32"/>
          <w:szCs w:val="32"/>
          <w:highlight w:val="none"/>
          <w:lang w:val="en-US" w:eastAsia="zh-CN"/>
        </w:rPr>
        <w:t>资金投入</w:t>
      </w:r>
      <w:r>
        <w:rPr>
          <w:rFonts w:hint="eastAsia" w:ascii="仿宋_GB2312" w:hAnsi="仿宋_GB2312" w:eastAsia="仿宋_GB2312" w:cs="仿宋_GB2312"/>
          <w:color w:val="auto"/>
          <w:sz w:val="32"/>
          <w:szCs w:val="32"/>
          <w:highlight w:val="none"/>
        </w:rPr>
        <w:t>三个方面进行评价。项目</w:t>
      </w:r>
      <w:r>
        <w:rPr>
          <w:rFonts w:hint="eastAsia" w:ascii="仿宋_GB2312" w:hAnsi="仿宋_GB2312" w:eastAsia="仿宋_GB2312" w:cs="仿宋_GB2312"/>
          <w:color w:val="auto"/>
          <w:sz w:val="32"/>
          <w:szCs w:val="32"/>
          <w:highlight w:val="none"/>
          <w:lang w:val="en-US" w:eastAsia="zh-CN"/>
        </w:rPr>
        <w:t>决策</w:t>
      </w:r>
      <w:r>
        <w:rPr>
          <w:rFonts w:hint="eastAsia" w:ascii="仿宋_GB2312" w:hAnsi="仿宋_GB2312" w:eastAsia="仿宋_GB2312" w:cs="仿宋_GB2312"/>
          <w:color w:val="auto"/>
          <w:sz w:val="32"/>
          <w:szCs w:val="32"/>
          <w:highlight w:val="none"/>
        </w:rPr>
        <w:t>满分</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分，得分</w:t>
      </w:r>
      <w:r>
        <w:rPr>
          <w:rFonts w:hint="eastAsia" w:ascii="仿宋_GB2312" w:hAnsi="仿宋_GB2312" w:eastAsia="仿宋_GB2312" w:cs="仿宋_GB2312"/>
          <w:color w:val="auto"/>
          <w:sz w:val="32"/>
          <w:szCs w:val="32"/>
          <w:highlight w:val="none"/>
          <w:lang w:val="en-US" w:eastAsia="zh-CN"/>
        </w:rPr>
        <w:t>10.8</w:t>
      </w:r>
      <w:r>
        <w:rPr>
          <w:rFonts w:hint="eastAsia" w:ascii="仿宋_GB2312" w:hAnsi="仿宋_GB2312" w:eastAsia="仿宋_GB2312" w:cs="仿宋_GB2312"/>
          <w:color w:val="auto"/>
          <w:sz w:val="32"/>
          <w:szCs w:val="32"/>
          <w:highlight w:val="none"/>
        </w:rPr>
        <w:t>分。具体得分详见表</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w:t>
      </w:r>
    </w:p>
    <w:p w14:paraId="1260ECBA">
      <w:pPr>
        <w:pStyle w:val="8"/>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66" w:firstLineChars="200"/>
        <w:jc w:val="center"/>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kern w:val="2"/>
          <w:sz w:val="28"/>
          <w:szCs w:val="28"/>
          <w:highlight w:val="none"/>
          <w:lang w:val="en-US" w:eastAsia="zh-CN" w:bidi="ar-SA"/>
        </w:rPr>
        <w:t>表7   项目决策绩效指标分析表</w:t>
      </w:r>
    </w:p>
    <w:tbl>
      <w:tblPr>
        <w:tblStyle w:val="15"/>
        <w:tblW w:w="8716"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800"/>
        <w:gridCol w:w="1599"/>
        <w:gridCol w:w="2816"/>
        <w:gridCol w:w="1076"/>
        <w:gridCol w:w="1076"/>
      </w:tblGrid>
      <w:tr w14:paraId="23B1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49" w:type="dxa"/>
            <w:tcBorders>
              <w:left w:val="nil"/>
              <w:tl2br w:val="nil"/>
              <w:tr2bl w:val="nil"/>
            </w:tcBorders>
            <w:shd w:val="clear" w:color="auto" w:fill="D7D7D7"/>
            <w:noWrap w:val="0"/>
            <w:vAlign w:val="center"/>
          </w:tcPr>
          <w:p w14:paraId="41FA5A4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一级指标</w:t>
            </w:r>
          </w:p>
        </w:tc>
        <w:tc>
          <w:tcPr>
            <w:tcW w:w="800" w:type="dxa"/>
            <w:tcBorders>
              <w:tl2br w:val="nil"/>
              <w:tr2bl w:val="nil"/>
            </w:tcBorders>
            <w:shd w:val="clear" w:color="auto" w:fill="D7D7D7"/>
            <w:noWrap w:val="0"/>
            <w:vAlign w:val="center"/>
          </w:tcPr>
          <w:p w14:paraId="63C0ACE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分值</w:t>
            </w:r>
          </w:p>
        </w:tc>
        <w:tc>
          <w:tcPr>
            <w:tcW w:w="1599" w:type="dxa"/>
            <w:tcBorders>
              <w:tl2br w:val="nil"/>
              <w:tr2bl w:val="nil"/>
            </w:tcBorders>
            <w:shd w:val="clear" w:color="auto" w:fill="D7D7D7"/>
            <w:noWrap w:val="0"/>
            <w:vAlign w:val="center"/>
          </w:tcPr>
          <w:p w14:paraId="17FB738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二级指标</w:t>
            </w:r>
          </w:p>
        </w:tc>
        <w:tc>
          <w:tcPr>
            <w:tcW w:w="2816" w:type="dxa"/>
            <w:tcBorders>
              <w:tl2br w:val="nil"/>
              <w:tr2bl w:val="nil"/>
            </w:tcBorders>
            <w:shd w:val="clear" w:color="auto" w:fill="D7D7D7"/>
            <w:noWrap w:val="0"/>
            <w:vAlign w:val="center"/>
          </w:tcPr>
          <w:p w14:paraId="6438B86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三级指标</w:t>
            </w:r>
          </w:p>
        </w:tc>
        <w:tc>
          <w:tcPr>
            <w:tcW w:w="1076" w:type="dxa"/>
            <w:tcBorders>
              <w:tl2br w:val="nil"/>
              <w:tr2bl w:val="nil"/>
            </w:tcBorders>
            <w:shd w:val="clear" w:color="auto" w:fill="D7D7D7"/>
            <w:noWrap w:val="0"/>
            <w:vAlign w:val="center"/>
          </w:tcPr>
          <w:p w14:paraId="71CFAE5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分值</w:t>
            </w:r>
          </w:p>
        </w:tc>
        <w:tc>
          <w:tcPr>
            <w:tcW w:w="1076" w:type="dxa"/>
            <w:tcBorders>
              <w:right w:val="nil"/>
              <w:tl2br w:val="nil"/>
              <w:tr2bl w:val="nil"/>
            </w:tcBorders>
            <w:shd w:val="clear" w:color="auto" w:fill="D7D7D7"/>
            <w:noWrap w:val="0"/>
            <w:vAlign w:val="center"/>
          </w:tcPr>
          <w:p w14:paraId="1D89A1D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得分</w:t>
            </w:r>
          </w:p>
        </w:tc>
      </w:tr>
      <w:tr w14:paraId="3BDC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49" w:type="dxa"/>
            <w:vMerge w:val="restart"/>
            <w:tcBorders>
              <w:left w:val="nil"/>
              <w:tl2br w:val="nil"/>
              <w:tr2bl w:val="nil"/>
            </w:tcBorders>
            <w:shd w:val="clear" w:color="auto" w:fill="auto"/>
            <w:noWrap w:val="0"/>
            <w:vAlign w:val="center"/>
          </w:tcPr>
          <w:p w14:paraId="506B41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决策</w:t>
            </w:r>
          </w:p>
        </w:tc>
        <w:tc>
          <w:tcPr>
            <w:tcW w:w="800" w:type="dxa"/>
            <w:vMerge w:val="restart"/>
            <w:tcBorders>
              <w:tl2br w:val="nil"/>
              <w:tr2bl w:val="nil"/>
            </w:tcBorders>
            <w:shd w:val="clear" w:color="auto" w:fill="auto"/>
            <w:noWrap w:val="0"/>
            <w:vAlign w:val="center"/>
          </w:tcPr>
          <w:p w14:paraId="4843FA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w:t>
            </w:r>
          </w:p>
        </w:tc>
        <w:tc>
          <w:tcPr>
            <w:tcW w:w="1599" w:type="dxa"/>
            <w:vMerge w:val="restart"/>
            <w:tcBorders>
              <w:tl2br w:val="nil"/>
              <w:tr2bl w:val="nil"/>
            </w:tcBorders>
            <w:shd w:val="clear" w:color="auto" w:fill="auto"/>
            <w:noWrap w:val="0"/>
            <w:vAlign w:val="center"/>
          </w:tcPr>
          <w:p w14:paraId="54CF3E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项目立项</w:t>
            </w:r>
          </w:p>
        </w:tc>
        <w:tc>
          <w:tcPr>
            <w:tcW w:w="2816" w:type="dxa"/>
            <w:tcBorders>
              <w:tl2br w:val="nil"/>
              <w:tr2bl w:val="nil"/>
            </w:tcBorders>
            <w:shd w:val="clear" w:color="auto" w:fill="auto"/>
            <w:noWrap w:val="0"/>
            <w:vAlign w:val="center"/>
          </w:tcPr>
          <w:p w14:paraId="614B18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立项依据充分性</w:t>
            </w:r>
          </w:p>
        </w:tc>
        <w:tc>
          <w:tcPr>
            <w:tcW w:w="1076" w:type="dxa"/>
            <w:tcBorders>
              <w:tl2br w:val="nil"/>
              <w:tr2bl w:val="nil"/>
            </w:tcBorders>
            <w:shd w:val="clear" w:color="auto" w:fill="auto"/>
            <w:noWrap w:val="0"/>
            <w:vAlign w:val="center"/>
          </w:tcPr>
          <w:p w14:paraId="076122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76" w:type="dxa"/>
            <w:tcBorders>
              <w:right w:val="nil"/>
              <w:tl2br w:val="nil"/>
              <w:tr2bl w:val="nil"/>
            </w:tcBorders>
            <w:shd w:val="clear" w:color="auto" w:fill="auto"/>
            <w:noWrap w:val="0"/>
            <w:vAlign w:val="center"/>
          </w:tcPr>
          <w:p w14:paraId="0F2541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r>
      <w:tr w14:paraId="63D2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49" w:type="dxa"/>
            <w:vMerge w:val="continue"/>
            <w:tcBorders>
              <w:left w:val="nil"/>
              <w:tl2br w:val="nil"/>
              <w:tr2bl w:val="nil"/>
            </w:tcBorders>
            <w:shd w:val="clear" w:color="auto" w:fill="auto"/>
            <w:noWrap w:val="0"/>
            <w:vAlign w:val="center"/>
          </w:tcPr>
          <w:p w14:paraId="1C73A1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0" w:type="dxa"/>
            <w:vMerge w:val="continue"/>
            <w:tcBorders>
              <w:tl2br w:val="nil"/>
              <w:tr2bl w:val="nil"/>
            </w:tcBorders>
            <w:shd w:val="clear" w:color="auto" w:fill="auto"/>
            <w:noWrap w:val="0"/>
            <w:vAlign w:val="center"/>
          </w:tcPr>
          <w:p w14:paraId="701B5B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599" w:type="dxa"/>
            <w:vMerge w:val="continue"/>
            <w:tcBorders>
              <w:tl2br w:val="nil"/>
              <w:tr2bl w:val="nil"/>
            </w:tcBorders>
            <w:shd w:val="clear" w:color="auto" w:fill="auto"/>
            <w:noWrap w:val="0"/>
            <w:vAlign w:val="center"/>
          </w:tcPr>
          <w:p w14:paraId="47D336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2816" w:type="dxa"/>
            <w:tcBorders>
              <w:tl2br w:val="nil"/>
              <w:tr2bl w:val="nil"/>
            </w:tcBorders>
            <w:shd w:val="clear" w:color="auto" w:fill="auto"/>
            <w:noWrap w:val="0"/>
            <w:vAlign w:val="center"/>
          </w:tcPr>
          <w:p w14:paraId="0AFDBE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立项程序规范性</w:t>
            </w:r>
          </w:p>
        </w:tc>
        <w:tc>
          <w:tcPr>
            <w:tcW w:w="1076" w:type="dxa"/>
            <w:tcBorders>
              <w:tl2br w:val="nil"/>
              <w:tr2bl w:val="nil"/>
            </w:tcBorders>
            <w:shd w:val="clear" w:color="auto" w:fill="auto"/>
            <w:noWrap w:val="0"/>
            <w:vAlign w:val="center"/>
          </w:tcPr>
          <w:p w14:paraId="5E527E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76" w:type="dxa"/>
            <w:tcBorders>
              <w:right w:val="nil"/>
              <w:tl2br w:val="nil"/>
              <w:tr2bl w:val="nil"/>
            </w:tcBorders>
            <w:shd w:val="clear" w:color="auto" w:fill="auto"/>
            <w:noWrap w:val="0"/>
            <w:vAlign w:val="center"/>
          </w:tcPr>
          <w:p w14:paraId="15018E6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r>
      <w:tr w14:paraId="2261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49" w:type="dxa"/>
            <w:vMerge w:val="continue"/>
            <w:tcBorders>
              <w:left w:val="nil"/>
              <w:tl2br w:val="nil"/>
              <w:tr2bl w:val="nil"/>
            </w:tcBorders>
            <w:shd w:val="clear" w:color="auto" w:fill="auto"/>
            <w:noWrap w:val="0"/>
            <w:vAlign w:val="center"/>
          </w:tcPr>
          <w:p w14:paraId="2F0232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0" w:type="dxa"/>
            <w:vMerge w:val="continue"/>
            <w:tcBorders>
              <w:tl2br w:val="nil"/>
              <w:tr2bl w:val="nil"/>
            </w:tcBorders>
            <w:shd w:val="clear" w:color="auto" w:fill="auto"/>
            <w:noWrap w:val="0"/>
            <w:vAlign w:val="center"/>
          </w:tcPr>
          <w:p w14:paraId="141559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599" w:type="dxa"/>
            <w:vMerge w:val="restart"/>
            <w:tcBorders>
              <w:tl2br w:val="nil"/>
              <w:tr2bl w:val="nil"/>
            </w:tcBorders>
            <w:shd w:val="clear" w:color="auto" w:fill="auto"/>
            <w:noWrap w:val="0"/>
            <w:vAlign w:val="center"/>
          </w:tcPr>
          <w:p w14:paraId="4DB1F5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绩效目标</w:t>
            </w:r>
          </w:p>
        </w:tc>
        <w:tc>
          <w:tcPr>
            <w:tcW w:w="2816" w:type="dxa"/>
            <w:tcBorders>
              <w:tl2br w:val="nil"/>
              <w:tr2bl w:val="nil"/>
            </w:tcBorders>
            <w:shd w:val="clear" w:color="auto" w:fill="auto"/>
            <w:noWrap w:val="0"/>
            <w:vAlign w:val="center"/>
          </w:tcPr>
          <w:p w14:paraId="3744BB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绩效目标合理性</w:t>
            </w:r>
          </w:p>
        </w:tc>
        <w:tc>
          <w:tcPr>
            <w:tcW w:w="1076" w:type="dxa"/>
            <w:tcBorders>
              <w:tl2br w:val="nil"/>
              <w:tr2bl w:val="nil"/>
            </w:tcBorders>
            <w:shd w:val="clear" w:color="auto" w:fill="auto"/>
            <w:noWrap w:val="0"/>
            <w:vAlign w:val="center"/>
          </w:tcPr>
          <w:p w14:paraId="318920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76" w:type="dxa"/>
            <w:tcBorders>
              <w:right w:val="nil"/>
              <w:tl2br w:val="nil"/>
              <w:tr2bl w:val="nil"/>
            </w:tcBorders>
            <w:shd w:val="clear" w:color="auto" w:fill="auto"/>
            <w:noWrap w:val="0"/>
            <w:vAlign w:val="center"/>
          </w:tcPr>
          <w:p w14:paraId="493F719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1.6</w:t>
            </w:r>
          </w:p>
        </w:tc>
      </w:tr>
      <w:tr w14:paraId="2442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49" w:type="dxa"/>
            <w:vMerge w:val="continue"/>
            <w:tcBorders>
              <w:left w:val="nil"/>
              <w:tl2br w:val="nil"/>
              <w:tr2bl w:val="nil"/>
            </w:tcBorders>
            <w:shd w:val="clear" w:color="auto" w:fill="auto"/>
            <w:noWrap w:val="0"/>
            <w:vAlign w:val="center"/>
          </w:tcPr>
          <w:p w14:paraId="4698C5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0" w:type="dxa"/>
            <w:vMerge w:val="continue"/>
            <w:tcBorders>
              <w:tl2br w:val="nil"/>
              <w:tr2bl w:val="nil"/>
            </w:tcBorders>
            <w:shd w:val="clear" w:color="auto" w:fill="auto"/>
            <w:noWrap w:val="0"/>
            <w:vAlign w:val="center"/>
          </w:tcPr>
          <w:p w14:paraId="4EF28F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599" w:type="dxa"/>
            <w:vMerge w:val="continue"/>
            <w:tcBorders>
              <w:tl2br w:val="nil"/>
              <w:tr2bl w:val="nil"/>
            </w:tcBorders>
            <w:shd w:val="clear" w:color="auto" w:fill="auto"/>
            <w:noWrap w:val="0"/>
            <w:vAlign w:val="center"/>
          </w:tcPr>
          <w:p w14:paraId="45E990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2816" w:type="dxa"/>
            <w:tcBorders>
              <w:tl2br w:val="nil"/>
              <w:tr2bl w:val="nil"/>
            </w:tcBorders>
            <w:shd w:val="clear" w:color="auto" w:fill="auto"/>
            <w:noWrap w:val="0"/>
            <w:vAlign w:val="center"/>
          </w:tcPr>
          <w:p w14:paraId="1E6ECD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绩效指标明确性</w:t>
            </w:r>
          </w:p>
        </w:tc>
        <w:tc>
          <w:tcPr>
            <w:tcW w:w="1076" w:type="dxa"/>
            <w:tcBorders>
              <w:tl2br w:val="nil"/>
              <w:tr2bl w:val="nil"/>
            </w:tcBorders>
            <w:shd w:val="clear" w:color="auto" w:fill="auto"/>
            <w:noWrap w:val="0"/>
            <w:vAlign w:val="center"/>
          </w:tcPr>
          <w:p w14:paraId="628DBF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76" w:type="dxa"/>
            <w:tcBorders>
              <w:right w:val="nil"/>
              <w:tl2br w:val="nil"/>
              <w:tr2bl w:val="nil"/>
            </w:tcBorders>
            <w:shd w:val="clear" w:color="auto" w:fill="auto"/>
            <w:noWrap w:val="0"/>
            <w:vAlign w:val="center"/>
          </w:tcPr>
          <w:p w14:paraId="520A1B3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1.6</w:t>
            </w:r>
          </w:p>
        </w:tc>
      </w:tr>
      <w:tr w14:paraId="69B3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49" w:type="dxa"/>
            <w:vMerge w:val="continue"/>
            <w:tcBorders>
              <w:left w:val="nil"/>
              <w:tl2br w:val="nil"/>
              <w:tr2bl w:val="nil"/>
            </w:tcBorders>
            <w:shd w:val="clear" w:color="auto" w:fill="auto"/>
            <w:noWrap w:val="0"/>
            <w:vAlign w:val="center"/>
          </w:tcPr>
          <w:p w14:paraId="5BB4CD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0" w:type="dxa"/>
            <w:vMerge w:val="continue"/>
            <w:tcBorders>
              <w:tl2br w:val="nil"/>
              <w:tr2bl w:val="nil"/>
            </w:tcBorders>
            <w:shd w:val="clear" w:color="auto" w:fill="auto"/>
            <w:noWrap w:val="0"/>
            <w:vAlign w:val="center"/>
          </w:tcPr>
          <w:p w14:paraId="2969F7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599" w:type="dxa"/>
            <w:vMerge w:val="restart"/>
            <w:tcBorders>
              <w:tl2br w:val="nil"/>
              <w:tr2bl w:val="nil"/>
            </w:tcBorders>
            <w:shd w:val="clear" w:color="auto" w:fill="auto"/>
            <w:noWrap w:val="0"/>
            <w:vAlign w:val="center"/>
          </w:tcPr>
          <w:p w14:paraId="60A9D0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资金投入</w:t>
            </w:r>
          </w:p>
        </w:tc>
        <w:tc>
          <w:tcPr>
            <w:tcW w:w="2816" w:type="dxa"/>
            <w:tcBorders>
              <w:tl2br w:val="nil"/>
              <w:tr2bl w:val="nil"/>
            </w:tcBorders>
            <w:shd w:val="clear" w:color="auto" w:fill="auto"/>
            <w:noWrap w:val="0"/>
            <w:vAlign w:val="center"/>
          </w:tcPr>
          <w:p w14:paraId="4F95EC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预算编制科学性</w:t>
            </w:r>
          </w:p>
        </w:tc>
        <w:tc>
          <w:tcPr>
            <w:tcW w:w="1076" w:type="dxa"/>
            <w:tcBorders>
              <w:tl2br w:val="nil"/>
              <w:tr2bl w:val="nil"/>
            </w:tcBorders>
            <w:shd w:val="clear" w:color="auto" w:fill="auto"/>
            <w:noWrap w:val="0"/>
            <w:vAlign w:val="center"/>
          </w:tcPr>
          <w:p w14:paraId="3C300F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76" w:type="dxa"/>
            <w:tcBorders>
              <w:right w:val="nil"/>
              <w:tl2br w:val="nil"/>
              <w:tr2bl w:val="nil"/>
            </w:tcBorders>
            <w:shd w:val="clear" w:color="auto" w:fill="auto"/>
            <w:noWrap w:val="0"/>
            <w:vAlign w:val="center"/>
          </w:tcPr>
          <w:p w14:paraId="0CC2E2F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w:t>
            </w:r>
          </w:p>
        </w:tc>
      </w:tr>
      <w:tr w14:paraId="2833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49" w:type="dxa"/>
            <w:vMerge w:val="continue"/>
            <w:tcBorders>
              <w:left w:val="nil"/>
              <w:tl2br w:val="nil"/>
              <w:tr2bl w:val="nil"/>
            </w:tcBorders>
            <w:shd w:val="clear" w:color="auto" w:fill="auto"/>
            <w:noWrap w:val="0"/>
            <w:vAlign w:val="center"/>
          </w:tcPr>
          <w:p w14:paraId="546E3B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0" w:type="dxa"/>
            <w:vMerge w:val="continue"/>
            <w:tcBorders>
              <w:tl2br w:val="nil"/>
              <w:tr2bl w:val="nil"/>
            </w:tcBorders>
            <w:shd w:val="clear" w:color="auto" w:fill="auto"/>
            <w:noWrap w:val="0"/>
            <w:vAlign w:val="center"/>
          </w:tcPr>
          <w:p w14:paraId="7BDDD7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599" w:type="dxa"/>
            <w:vMerge w:val="continue"/>
            <w:tcBorders>
              <w:tl2br w:val="nil"/>
              <w:tr2bl w:val="nil"/>
            </w:tcBorders>
            <w:shd w:val="clear" w:color="auto" w:fill="auto"/>
            <w:noWrap w:val="0"/>
            <w:vAlign w:val="center"/>
          </w:tcPr>
          <w:p w14:paraId="1DF693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2816" w:type="dxa"/>
            <w:tcBorders>
              <w:tl2br w:val="nil"/>
              <w:tr2bl w:val="nil"/>
            </w:tcBorders>
            <w:shd w:val="clear" w:color="auto" w:fill="auto"/>
            <w:noWrap w:val="0"/>
            <w:vAlign w:val="center"/>
          </w:tcPr>
          <w:p w14:paraId="4EF763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资金分配合理性</w:t>
            </w:r>
          </w:p>
        </w:tc>
        <w:tc>
          <w:tcPr>
            <w:tcW w:w="1076" w:type="dxa"/>
            <w:tcBorders>
              <w:tl2br w:val="nil"/>
              <w:tr2bl w:val="nil"/>
            </w:tcBorders>
            <w:shd w:val="clear" w:color="auto" w:fill="auto"/>
            <w:noWrap w:val="0"/>
            <w:vAlign w:val="center"/>
          </w:tcPr>
          <w:p w14:paraId="67517A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76" w:type="dxa"/>
            <w:tcBorders>
              <w:right w:val="nil"/>
              <w:tl2br w:val="nil"/>
              <w:tr2bl w:val="nil"/>
            </w:tcBorders>
            <w:shd w:val="clear" w:color="auto" w:fill="auto"/>
            <w:noWrap w:val="0"/>
            <w:vAlign w:val="center"/>
          </w:tcPr>
          <w:p w14:paraId="0AE124C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1.8</w:t>
            </w:r>
          </w:p>
        </w:tc>
      </w:tr>
      <w:tr w14:paraId="455E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49" w:type="dxa"/>
            <w:tcBorders>
              <w:left w:val="nil"/>
              <w:tl2br w:val="nil"/>
              <w:tr2bl w:val="nil"/>
            </w:tcBorders>
            <w:shd w:val="clear" w:color="auto" w:fill="auto"/>
            <w:noWrap w:val="0"/>
            <w:vAlign w:val="center"/>
          </w:tcPr>
          <w:p w14:paraId="1374DFA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合计</w:t>
            </w:r>
          </w:p>
        </w:tc>
        <w:tc>
          <w:tcPr>
            <w:tcW w:w="800" w:type="dxa"/>
            <w:tcBorders>
              <w:tl2br w:val="nil"/>
              <w:tr2bl w:val="nil"/>
            </w:tcBorders>
            <w:shd w:val="clear" w:color="auto" w:fill="auto"/>
            <w:noWrap w:val="0"/>
            <w:vAlign w:val="center"/>
          </w:tcPr>
          <w:p w14:paraId="59AFA3C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12</w:t>
            </w:r>
          </w:p>
        </w:tc>
        <w:tc>
          <w:tcPr>
            <w:tcW w:w="1599" w:type="dxa"/>
            <w:tcBorders>
              <w:tl2br w:val="nil"/>
              <w:tr2bl w:val="nil"/>
            </w:tcBorders>
            <w:shd w:val="clear" w:color="auto" w:fill="auto"/>
            <w:noWrap w:val="0"/>
            <w:vAlign w:val="center"/>
          </w:tcPr>
          <w:p w14:paraId="1D9C965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w:t>
            </w:r>
          </w:p>
        </w:tc>
        <w:tc>
          <w:tcPr>
            <w:tcW w:w="2816" w:type="dxa"/>
            <w:tcBorders>
              <w:tl2br w:val="nil"/>
              <w:tr2bl w:val="nil"/>
            </w:tcBorders>
            <w:shd w:val="clear" w:color="auto" w:fill="auto"/>
            <w:noWrap w:val="0"/>
            <w:vAlign w:val="center"/>
          </w:tcPr>
          <w:p w14:paraId="7AB294B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w:t>
            </w:r>
          </w:p>
        </w:tc>
        <w:tc>
          <w:tcPr>
            <w:tcW w:w="1076" w:type="dxa"/>
            <w:tcBorders>
              <w:tl2br w:val="nil"/>
              <w:tr2bl w:val="nil"/>
            </w:tcBorders>
            <w:shd w:val="clear" w:color="auto" w:fill="auto"/>
            <w:noWrap w:val="0"/>
            <w:vAlign w:val="center"/>
          </w:tcPr>
          <w:p w14:paraId="4D76116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fldChar w:fldCharType="begin"/>
            </w:r>
            <w:r>
              <w:rPr>
                <w:rFonts w:hint="eastAsia" w:ascii="仿宋_GB2312" w:hAnsi="仿宋_GB2312" w:eastAsia="仿宋_GB2312" w:cs="仿宋_GB2312"/>
                <w:b/>
                <w:bCs/>
                <w:color w:val="auto"/>
                <w:sz w:val="24"/>
                <w:szCs w:val="24"/>
                <w:highlight w:val="none"/>
              </w:rPr>
              <w:instrText xml:space="preserve"> = sum(E2:E7) \* MERGEFORMAT </w:instrText>
            </w:r>
            <w:r>
              <w:rPr>
                <w:rFonts w:hint="eastAsia" w:ascii="仿宋_GB2312" w:hAnsi="仿宋_GB2312" w:eastAsia="仿宋_GB2312" w:cs="仿宋_GB2312"/>
                <w:b/>
                <w:bCs/>
                <w:color w:val="auto"/>
                <w:sz w:val="24"/>
                <w:szCs w:val="24"/>
                <w:highlight w:val="none"/>
              </w:rPr>
              <w:fldChar w:fldCharType="separate"/>
            </w:r>
            <w:r>
              <w:rPr>
                <w:rFonts w:hint="eastAsia" w:ascii="仿宋_GB2312" w:hAnsi="仿宋_GB2312" w:eastAsia="仿宋_GB2312" w:cs="仿宋_GB2312"/>
                <w:b/>
                <w:bCs/>
                <w:color w:val="auto"/>
                <w:sz w:val="24"/>
                <w:szCs w:val="24"/>
                <w:highlight w:val="none"/>
              </w:rPr>
              <w:t>12</w:t>
            </w:r>
            <w:r>
              <w:rPr>
                <w:rFonts w:hint="eastAsia" w:ascii="仿宋_GB2312" w:hAnsi="仿宋_GB2312" w:eastAsia="仿宋_GB2312" w:cs="仿宋_GB2312"/>
                <w:b/>
                <w:bCs/>
                <w:color w:val="auto"/>
                <w:sz w:val="24"/>
                <w:szCs w:val="24"/>
                <w:highlight w:val="none"/>
              </w:rPr>
              <w:fldChar w:fldCharType="end"/>
            </w:r>
          </w:p>
        </w:tc>
        <w:tc>
          <w:tcPr>
            <w:tcW w:w="1076" w:type="dxa"/>
            <w:tcBorders>
              <w:right w:val="nil"/>
              <w:tl2br w:val="nil"/>
              <w:tr2bl w:val="nil"/>
            </w:tcBorders>
            <w:shd w:val="clear" w:color="auto" w:fill="auto"/>
            <w:noWrap w:val="0"/>
            <w:vAlign w:val="center"/>
          </w:tcPr>
          <w:p w14:paraId="08F1396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fldChar w:fldCharType="begin"/>
            </w:r>
            <w:r>
              <w:rPr>
                <w:rFonts w:hint="eastAsia" w:ascii="仿宋_GB2312" w:hAnsi="仿宋_GB2312" w:eastAsia="仿宋_GB2312" w:cs="仿宋_GB2312"/>
                <w:b/>
                <w:bCs/>
                <w:color w:val="auto"/>
                <w:sz w:val="24"/>
                <w:szCs w:val="24"/>
                <w:highlight w:val="none"/>
                <w:lang w:val="en-US" w:eastAsia="zh-CN"/>
              </w:rPr>
              <w:instrText xml:space="preserve"> = sum(F2:F7) \* MERGEFORMAT </w:instrText>
            </w:r>
            <w:r>
              <w:rPr>
                <w:rFonts w:hint="eastAsia" w:ascii="仿宋_GB2312" w:hAnsi="仿宋_GB2312" w:eastAsia="仿宋_GB2312" w:cs="仿宋_GB2312"/>
                <w:b/>
                <w:bCs/>
                <w:color w:val="auto"/>
                <w:sz w:val="24"/>
                <w:szCs w:val="24"/>
                <w:highlight w:val="none"/>
                <w:lang w:val="en-US" w:eastAsia="zh-CN"/>
              </w:rPr>
              <w:fldChar w:fldCharType="separate"/>
            </w:r>
            <w:r>
              <w:rPr>
                <w:rFonts w:hint="eastAsia" w:ascii="仿宋_GB2312" w:hAnsi="仿宋_GB2312" w:eastAsia="仿宋_GB2312" w:cs="仿宋_GB2312"/>
                <w:b/>
                <w:bCs/>
                <w:color w:val="auto"/>
                <w:sz w:val="24"/>
                <w:szCs w:val="24"/>
                <w:highlight w:val="none"/>
                <w:lang w:val="en-US" w:eastAsia="zh-CN"/>
              </w:rPr>
              <w:t>10.8</w:t>
            </w:r>
            <w:r>
              <w:rPr>
                <w:rFonts w:hint="eastAsia" w:ascii="仿宋_GB2312" w:hAnsi="仿宋_GB2312" w:eastAsia="仿宋_GB2312" w:cs="仿宋_GB2312"/>
                <w:b/>
                <w:bCs/>
                <w:color w:val="auto"/>
                <w:sz w:val="24"/>
                <w:szCs w:val="24"/>
                <w:highlight w:val="none"/>
                <w:lang w:val="en-US" w:eastAsia="zh-CN"/>
              </w:rPr>
              <w:fldChar w:fldCharType="end"/>
            </w:r>
          </w:p>
        </w:tc>
      </w:tr>
    </w:tbl>
    <w:p w14:paraId="22C93A13">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1.项目立项方面</w:t>
      </w:r>
    </w:p>
    <w:p w14:paraId="70252802">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（1）立项依据充分性方面。</w:t>
      </w:r>
      <w:r>
        <w:rPr>
          <w:rFonts w:ascii="仿宋_GB2312" w:hAnsi="仿宋_GB2312" w:eastAsia="仿宋_GB2312" w:cs="仿宋_GB2312"/>
          <w:color w:val="auto"/>
          <w:kern w:val="2"/>
          <w:sz w:val="32"/>
          <w:szCs w:val="32"/>
          <w:lang w:bidi="ar-SA"/>
        </w:rPr>
        <w:t>项目的立项符合国家相关法律法规和政策要求，符合国家财政专项资金的支持方向，并充分契合扶风县杏林镇污水处理厂稳定运行的实际需求。</w:t>
      </w:r>
    </w:p>
    <w:p w14:paraId="00865C5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（2）立项程序规范性方面。项目基本能按照规定的申请程序、审核程序、评估程序进行立项，程序规范。</w:t>
      </w:r>
    </w:p>
    <w:p w14:paraId="467AE47F">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2.绩效目标方面</w:t>
      </w:r>
    </w:p>
    <w:p w14:paraId="793CE803">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（1）绩效目标合理性方面。项目有预期绩效目标，但效益指标设置不够全面、合理</w:t>
      </w:r>
      <w:r>
        <w:rPr>
          <w:rFonts w:hint="eastAsia" w:ascii="仿宋_GB2312" w:hAnsi="仿宋_GB2312" w:eastAsia="仿宋_GB2312" w:cs="仿宋_GB2312"/>
          <w:color w:val="auto"/>
          <w:kern w:val="2"/>
          <w:sz w:val="32"/>
          <w:szCs w:val="32"/>
          <w:highlight w:val="none"/>
          <w:lang w:val="en-US" w:eastAsia="zh-CN" w:bidi="ar-SA"/>
        </w:rPr>
        <w:t>。</w:t>
      </w:r>
    </w:p>
    <w:p w14:paraId="162FB010">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（2）绩效指标明确性方面。项目有预期绩效目标，但效益指标设置</w:t>
      </w:r>
      <w:r>
        <w:rPr>
          <w:rFonts w:hint="eastAsia" w:ascii="仿宋_GB2312" w:hAnsi="仿宋_GB2312" w:eastAsia="仿宋_GB2312" w:cs="仿宋_GB2312"/>
          <w:color w:val="auto"/>
          <w:kern w:val="2"/>
          <w:sz w:val="32"/>
          <w:szCs w:val="32"/>
          <w:highlight w:val="none"/>
          <w:lang w:val="en-US" w:eastAsia="zh-CN" w:bidi="ar-SA"/>
        </w:rPr>
        <w:t>不够明确。</w:t>
      </w:r>
    </w:p>
    <w:p w14:paraId="2095D56F">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3.资金投入方面</w:t>
      </w:r>
    </w:p>
    <w:p w14:paraId="74A6FC0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（1）预算编制科学性方面。</w:t>
      </w:r>
      <w:r>
        <w:rPr>
          <w:rFonts w:ascii="仿宋_GB2312" w:hAnsi="仿宋_GB2312" w:eastAsia="仿宋_GB2312" w:cs="仿宋_GB2312"/>
          <w:color w:val="auto"/>
          <w:kern w:val="2"/>
          <w:sz w:val="32"/>
          <w:szCs w:val="32"/>
          <w:lang w:bidi="ar-SA"/>
        </w:rPr>
        <w:t>项目单位编制的</w:t>
      </w:r>
      <w:r>
        <w:rPr>
          <w:rFonts w:hint="eastAsia" w:ascii="仿宋_GB2312" w:hAnsi="仿宋_GB2312" w:eastAsia="仿宋_GB2312" w:cs="仿宋_GB2312"/>
          <w:color w:val="auto"/>
          <w:kern w:val="2"/>
          <w:sz w:val="32"/>
          <w:szCs w:val="32"/>
          <w:lang w:val="en-US" w:eastAsia="zh-CN" w:bidi="ar-SA"/>
        </w:rPr>
        <w:t>预</w:t>
      </w:r>
      <w:r>
        <w:rPr>
          <w:rFonts w:ascii="仿宋_GB2312" w:hAnsi="仿宋_GB2312" w:eastAsia="仿宋_GB2312" w:cs="仿宋_GB2312"/>
          <w:color w:val="auto"/>
          <w:kern w:val="2"/>
          <w:sz w:val="32"/>
          <w:szCs w:val="32"/>
          <w:lang w:bidi="ar-SA"/>
        </w:rPr>
        <w:t>算（</w:t>
      </w:r>
      <w:r>
        <w:rPr>
          <w:rFonts w:hint="eastAsia" w:ascii="仿宋_GB2312" w:hAnsi="仿宋_GB2312" w:eastAsia="仿宋_GB2312" w:cs="仿宋_GB2312"/>
          <w:color w:val="auto"/>
          <w:kern w:val="2"/>
          <w:sz w:val="32"/>
          <w:szCs w:val="32"/>
          <w:lang w:val="en-US" w:eastAsia="zh-CN" w:bidi="ar-SA"/>
        </w:rPr>
        <w:t>30.00</w:t>
      </w:r>
      <w:r>
        <w:rPr>
          <w:rFonts w:ascii="仿宋_GB2312" w:hAnsi="仿宋_GB2312" w:eastAsia="仿宋_GB2312" w:cs="仿宋_GB2312"/>
          <w:color w:val="auto"/>
          <w:kern w:val="2"/>
          <w:sz w:val="32"/>
          <w:szCs w:val="32"/>
          <w:lang w:bidi="ar-SA"/>
        </w:rPr>
        <w:t>万元）与项目实际所需资金（约</w:t>
      </w:r>
      <w:r>
        <w:rPr>
          <w:rFonts w:ascii="仿宋_GB2312" w:hAnsi="仿宋_GB2312" w:eastAsia="仿宋_GB2312" w:cs="仿宋_GB2312"/>
          <w:b w:val="0"/>
          <w:bCs w:val="0"/>
          <w:color w:val="auto"/>
          <w:kern w:val="2"/>
          <w:sz w:val="32"/>
          <w:szCs w:val="32"/>
          <w:lang w:bidi="ar-SA"/>
        </w:rPr>
        <w:t>30</w:t>
      </w:r>
      <w:r>
        <w:rPr>
          <w:rFonts w:hint="eastAsia" w:ascii="仿宋_GB2312" w:hAnsi="仿宋_GB2312" w:eastAsia="仿宋_GB2312" w:cs="仿宋_GB2312"/>
          <w:b w:val="0"/>
          <w:bCs w:val="0"/>
          <w:color w:val="auto"/>
          <w:kern w:val="2"/>
          <w:sz w:val="32"/>
          <w:szCs w:val="32"/>
          <w:lang w:val="en-US" w:eastAsia="zh-CN" w:bidi="ar-SA"/>
        </w:rPr>
        <w:t>.</w:t>
      </w:r>
      <w:r>
        <w:rPr>
          <w:rFonts w:ascii="仿宋_GB2312" w:hAnsi="仿宋_GB2312" w:eastAsia="仿宋_GB2312" w:cs="仿宋_GB2312"/>
          <w:b w:val="0"/>
          <w:bCs w:val="0"/>
          <w:color w:val="auto"/>
          <w:kern w:val="2"/>
          <w:sz w:val="32"/>
          <w:szCs w:val="32"/>
          <w:lang w:bidi="ar-SA"/>
        </w:rPr>
        <w:t>3</w:t>
      </w:r>
      <w:r>
        <w:rPr>
          <w:rFonts w:hint="eastAsia" w:ascii="仿宋_GB2312" w:hAnsi="仿宋_GB2312" w:eastAsia="仿宋_GB2312" w:cs="仿宋_GB2312"/>
          <w:b w:val="0"/>
          <w:bCs w:val="0"/>
          <w:color w:val="auto"/>
          <w:kern w:val="2"/>
          <w:sz w:val="32"/>
          <w:szCs w:val="32"/>
          <w:lang w:val="en-US" w:eastAsia="zh-CN" w:bidi="ar-SA"/>
        </w:rPr>
        <w:t>5</w:t>
      </w:r>
      <w:r>
        <w:rPr>
          <w:rFonts w:ascii="仿宋_GB2312" w:hAnsi="仿宋_GB2312" w:eastAsia="仿宋_GB2312" w:cs="仿宋_GB2312"/>
          <w:color w:val="auto"/>
          <w:kern w:val="2"/>
          <w:sz w:val="32"/>
          <w:szCs w:val="32"/>
          <w:lang w:bidi="ar-SA"/>
        </w:rPr>
        <w:t>万元）存在</w:t>
      </w:r>
      <w:r>
        <w:rPr>
          <w:rFonts w:hint="eastAsia" w:ascii="仿宋_GB2312" w:hAnsi="仿宋_GB2312" w:eastAsia="仿宋_GB2312" w:cs="仿宋_GB2312"/>
          <w:color w:val="auto"/>
          <w:kern w:val="2"/>
          <w:sz w:val="32"/>
          <w:szCs w:val="32"/>
          <w:lang w:val="en-US" w:eastAsia="zh-CN" w:bidi="ar-SA"/>
        </w:rPr>
        <w:t>差异</w:t>
      </w:r>
      <w:r>
        <w:rPr>
          <w:rFonts w:ascii="仿宋_GB2312" w:hAnsi="仿宋_GB2312" w:eastAsia="仿宋_GB2312" w:cs="仿宋_GB2312"/>
          <w:color w:val="auto"/>
          <w:kern w:val="2"/>
          <w:sz w:val="32"/>
          <w:szCs w:val="32"/>
          <w:lang w:bidi="ar-SA"/>
        </w:rPr>
        <w:t>，预算编制不够精</w:t>
      </w:r>
      <w:r>
        <w:rPr>
          <w:rFonts w:hint="eastAsia" w:ascii="仿宋_GB2312" w:hAnsi="仿宋_GB2312" w:eastAsia="仿宋_GB2312" w:cs="仿宋_GB2312"/>
          <w:color w:val="auto"/>
          <w:kern w:val="2"/>
          <w:sz w:val="32"/>
          <w:szCs w:val="32"/>
          <w:lang w:val="en-US" w:eastAsia="zh-CN" w:bidi="ar-SA"/>
        </w:rPr>
        <w:t>准</w:t>
      </w:r>
      <w:r>
        <w:rPr>
          <w:rFonts w:ascii="仿宋_GB2312" w:hAnsi="仿宋_GB2312" w:eastAsia="仿宋_GB2312" w:cs="仿宋_GB2312"/>
          <w:color w:val="auto"/>
          <w:kern w:val="2"/>
          <w:sz w:val="32"/>
          <w:szCs w:val="32"/>
          <w:lang w:bidi="ar-SA"/>
        </w:rPr>
        <w:t>。</w:t>
      </w:r>
    </w:p>
    <w:p w14:paraId="7C762E1C">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highlight w:val="none"/>
          <w:lang w:val="en-US" w:eastAsia="zh-CN"/>
        </w:rPr>
        <w:t>（2）资金分配合理性方面。</w:t>
      </w:r>
      <w:r>
        <w:rPr>
          <w:rFonts w:ascii="仿宋_GB2312" w:hAnsi="仿宋_GB2312" w:eastAsia="仿宋_GB2312" w:cs="仿宋_GB2312"/>
          <w:color w:val="auto"/>
          <w:kern w:val="2"/>
          <w:sz w:val="32"/>
          <w:szCs w:val="32"/>
          <w:lang w:bidi="ar-SA"/>
        </w:rPr>
        <w:t>预算资金的分配依据充分，分配额度较为合理，与项目单位的实际情况</w:t>
      </w:r>
      <w:r>
        <w:rPr>
          <w:rFonts w:hint="eastAsia" w:ascii="仿宋_GB2312" w:hAnsi="仿宋_GB2312" w:eastAsia="仿宋_GB2312" w:cs="仿宋_GB2312"/>
          <w:color w:val="auto"/>
          <w:kern w:val="2"/>
          <w:sz w:val="32"/>
          <w:szCs w:val="32"/>
          <w:lang w:val="en-US" w:eastAsia="zh-CN" w:bidi="ar-SA"/>
        </w:rPr>
        <w:t>基本</w:t>
      </w:r>
      <w:r>
        <w:rPr>
          <w:rFonts w:ascii="仿宋_GB2312" w:hAnsi="仿宋_GB2312" w:eastAsia="仿宋_GB2312" w:cs="仿宋_GB2312"/>
          <w:color w:val="auto"/>
          <w:kern w:val="2"/>
          <w:sz w:val="32"/>
          <w:szCs w:val="32"/>
          <w:lang w:bidi="ar-SA"/>
        </w:rPr>
        <w:t>相符。</w:t>
      </w:r>
    </w:p>
    <w:p w14:paraId="15CAC971">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评价组认为，项目决策从整体上看，立项规范、决策依据较为充分，程序合规，符合相关政策。</w:t>
      </w:r>
      <w:r>
        <w:rPr>
          <w:rFonts w:hint="eastAsia" w:ascii="仿宋_GB2312" w:hAnsi="仿宋_GB2312" w:eastAsia="仿宋_GB2312" w:cs="仿宋_GB2312"/>
          <w:color w:val="auto"/>
          <w:kern w:val="2"/>
          <w:sz w:val="32"/>
          <w:szCs w:val="32"/>
          <w:lang w:val="en-US" w:eastAsia="zh-CN" w:bidi="ar-SA"/>
        </w:rPr>
        <w:t>但</w:t>
      </w:r>
      <w:r>
        <w:rPr>
          <w:rFonts w:ascii="仿宋_GB2312" w:hAnsi="仿宋_GB2312" w:eastAsia="仿宋_GB2312" w:cs="仿宋_GB2312"/>
          <w:color w:val="auto"/>
          <w:kern w:val="2"/>
          <w:sz w:val="32"/>
          <w:szCs w:val="32"/>
          <w:lang w:bidi="ar-SA"/>
        </w:rPr>
        <w:t>项目绩效目标的</w:t>
      </w:r>
      <w:r>
        <w:rPr>
          <w:rFonts w:hint="eastAsia" w:ascii="仿宋_GB2312" w:hAnsi="仿宋_GB2312" w:eastAsia="仿宋_GB2312" w:cs="仿宋_GB2312"/>
          <w:color w:val="auto"/>
          <w:kern w:val="2"/>
          <w:sz w:val="32"/>
          <w:szCs w:val="32"/>
          <w:lang w:val="en-US" w:eastAsia="zh-CN" w:bidi="ar-SA"/>
        </w:rPr>
        <w:t>设置</w:t>
      </w:r>
      <w:r>
        <w:rPr>
          <w:rFonts w:ascii="仿宋_GB2312" w:hAnsi="仿宋_GB2312" w:eastAsia="仿宋_GB2312" w:cs="仿宋_GB2312"/>
          <w:color w:val="auto"/>
          <w:kern w:val="2"/>
          <w:sz w:val="32"/>
          <w:szCs w:val="32"/>
          <w:lang w:bidi="ar-SA"/>
        </w:rPr>
        <w:t>存在不足</w:t>
      </w:r>
      <w:r>
        <w:rPr>
          <w:rFonts w:hint="eastAsia" w:ascii="仿宋_GB2312" w:hAnsi="仿宋_GB2312" w:eastAsia="仿宋_GB2312" w:cs="仿宋_GB2312"/>
          <w:color w:val="auto"/>
          <w:kern w:val="2"/>
          <w:sz w:val="32"/>
          <w:szCs w:val="32"/>
          <w:lang w:eastAsia="zh-CN" w:bidi="ar-SA"/>
        </w:rPr>
        <w:t>，</w:t>
      </w:r>
      <w:r>
        <w:rPr>
          <w:rFonts w:hint="eastAsia" w:ascii="仿宋_GB2312" w:hAnsi="仿宋_GB2312" w:eastAsia="仿宋_GB2312" w:cs="仿宋_GB2312"/>
          <w:color w:val="auto"/>
          <w:sz w:val="32"/>
          <w:szCs w:val="32"/>
          <w:highlight w:val="none"/>
          <w:lang w:val="en-US" w:eastAsia="zh-CN"/>
        </w:rPr>
        <w:t>预算编制不够精准。</w:t>
      </w:r>
    </w:p>
    <w:p w14:paraId="7EC93773">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（二）项目过程情况</w:t>
      </w:r>
    </w:p>
    <w:p w14:paraId="073E6D0B">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项目过程从资金管理和组织实施两个方面进行评价。项目过程满分16分，得分14分。具体得分详见表8。</w:t>
      </w:r>
    </w:p>
    <w:p w14:paraId="68395C35">
      <w:pPr>
        <w:pStyle w:val="8"/>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66" w:firstLineChars="200"/>
        <w:jc w:val="center"/>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表8  项目过程绩效指标分析表</w:t>
      </w:r>
    </w:p>
    <w:tbl>
      <w:tblPr>
        <w:tblStyle w:val="15"/>
        <w:tblW w:w="8617"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805"/>
        <w:gridCol w:w="1550"/>
        <w:gridCol w:w="2641"/>
        <w:gridCol w:w="961"/>
        <w:gridCol w:w="1173"/>
      </w:tblGrid>
      <w:tr w14:paraId="73BA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trPr>
        <w:tc>
          <w:tcPr>
            <w:tcW w:w="1487" w:type="dxa"/>
            <w:tcBorders>
              <w:left w:val="nil"/>
              <w:tl2br w:val="nil"/>
              <w:tr2bl w:val="nil"/>
            </w:tcBorders>
            <w:shd w:val="clear" w:color="auto" w:fill="D7D7D7"/>
            <w:noWrap w:val="0"/>
            <w:vAlign w:val="center"/>
          </w:tcPr>
          <w:p w14:paraId="794D930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一级指标</w:t>
            </w:r>
          </w:p>
        </w:tc>
        <w:tc>
          <w:tcPr>
            <w:tcW w:w="805" w:type="dxa"/>
            <w:tcBorders>
              <w:tl2br w:val="nil"/>
              <w:tr2bl w:val="nil"/>
            </w:tcBorders>
            <w:shd w:val="clear" w:color="auto" w:fill="D7D7D7"/>
            <w:noWrap w:val="0"/>
            <w:vAlign w:val="center"/>
          </w:tcPr>
          <w:p w14:paraId="32BF3BF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1550" w:type="dxa"/>
            <w:tcBorders>
              <w:tl2br w:val="nil"/>
              <w:tr2bl w:val="nil"/>
            </w:tcBorders>
            <w:shd w:val="clear" w:color="auto" w:fill="D7D7D7"/>
            <w:noWrap w:val="0"/>
            <w:vAlign w:val="center"/>
          </w:tcPr>
          <w:p w14:paraId="68A6845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二级指标</w:t>
            </w:r>
          </w:p>
        </w:tc>
        <w:tc>
          <w:tcPr>
            <w:tcW w:w="2641" w:type="dxa"/>
            <w:tcBorders>
              <w:tl2br w:val="nil"/>
              <w:tr2bl w:val="nil"/>
            </w:tcBorders>
            <w:shd w:val="clear" w:color="auto" w:fill="D7D7D7"/>
            <w:noWrap w:val="0"/>
            <w:vAlign w:val="center"/>
          </w:tcPr>
          <w:p w14:paraId="54FC642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三级指标</w:t>
            </w:r>
          </w:p>
        </w:tc>
        <w:tc>
          <w:tcPr>
            <w:tcW w:w="961" w:type="dxa"/>
            <w:tcBorders>
              <w:tl2br w:val="nil"/>
              <w:tr2bl w:val="nil"/>
            </w:tcBorders>
            <w:shd w:val="clear" w:color="auto" w:fill="D7D7D7"/>
            <w:noWrap w:val="0"/>
            <w:vAlign w:val="center"/>
          </w:tcPr>
          <w:p w14:paraId="3721627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w:t>
            </w:r>
          </w:p>
        </w:tc>
        <w:tc>
          <w:tcPr>
            <w:tcW w:w="1173" w:type="dxa"/>
            <w:tcBorders>
              <w:right w:val="nil"/>
              <w:tl2br w:val="nil"/>
              <w:tr2bl w:val="nil"/>
            </w:tcBorders>
            <w:shd w:val="clear" w:color="auto" w:fill="D7D7D7"/>
            <w:noWrap w:val="0"/>
            <w:vAlign w:val="center"/>
          </w:tcPr>
          <w:p w14:paraId="55B8DB4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得分</w:t>
            </w:r>
          </w:p>
        </w:tc>
      </w:tr>
      <w:tr w14:paraId="7164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487" w:type="dxa"/>
            <w:vMerge w:val="restart"/>
            <w:tcBorders>
              <w:left w:val="nil"/>
              <w:tl2br w:val="nil"/>
              <w:tr2bl w:val="nil"/>
            </w:tcBorders>
            <w:noWrap w:val="0"/>
            <w:vAlign w:val="center"/>
          </w:tcPr>
          <w:p w14:paraId="4B6D17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过程</w:t>
            </w:r>
          </w:p>
        </w:tc>
        <w:tc>
          <w:tcPr>
            <w:tcW w:w="805" w:type="dxa"/>
            <w:vMerge w:val="restart"/>
            <w:tcBorders>
              <w:tl2br w:val="nil"/>
              <w:tr2bl w:val="nil"/>
            </w:tcBorders>
            <w:noWrap w:val="0"/>
            <w:vAlign w:val="center"/>
          </w:tcPr>
          <w:p w14:paraId="1A643ED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16</w:t>
            </w:r>
          </w:p>
        </w:tc>
        <w:tc>
          <w:tcPr>
            <w:tcW w:w="1550" w:type="dxa"/>
            <w:vMerge w:val="restart"/>
            <w:tcBorders>
              <w:tl2br w:val="nil"/>
              <w:tr2bl w:val="nil"/>
            </w:tcBorders>
            <w:noWrap w:val="0"/>
            <w:vAlign w:val="center"/>
          </w:tcPr>
          <w:p w14:paraId="1EAC76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资金管理</w:t>
            </w:r>
          </w:p>
        </w:tc>
        <w:tc>
          <w:tcPr>
            <w:tcW w:w="2641" w:type="dxa"/>
            <w:tcBorders>
              <w:tl2br w:val="nil"/>
              <w:tr2bl w:val="nil"/>
            </w:tcBorders>
            <w:noWrap w:val="0"/>
            <w:vAlign w:val="center"/>
          </w:tcPr>
          <w:p w14:paraId="4EB549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资金到位率</w:t>
            </w:r>
          </w:p>
        </w:tc>
        <w:tc>
          <w:tcPr>
            <w:tcW w:w="961" w:type="dxa"/>
            <w:tcBorders>
              <w:tl2br w:val="nil"/>
              <w:tr2bl w:val="nil"/>
            </w:tcBorders>
            <w:noWrap w:val="0"/>
            <w:vAlign w:val="center"/>
          </w:tcPr>
          <w:p w14:paraId="015454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73" w:type="dxa"/>
            <w:tcBorders>
              <w:bottom w:val="single" w:color="000000" w:sz="4" w:space="0"/>
              <w:right w:val="nil"/>
              <w:tl2br w:val="nil"/>
              <w:tr2bl w:val="nil"/>
            </w:tcBorders>
            <w:noWrap w:val="0"/>
            <w:vAlign w:val="center"/>
          </w:tcPr>
          <w:p w14:paraId="12DB1C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r>
      <w:tr w14:paraId="1A6F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487" w:type="dxa"/>
            <w:vMerge w:val="continue"/>
            <w:tcBorders>
              <w:left w:val="nil"/>
              <w:tl2br w:val="nil"/>
              <w:tr2bl w:val="nil"/>
            </w:tcBorders>
            <w:noWrap w:val="0"/>
            <w:vAlign w:val="center"/>
          </w:tcPr>
          <w:p w14:paraId="14BB14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5" w:type="dxa"/>
            <w:vMerge w:val="continue"/>
            <w:tcBorders>
              <w:tl2br w:val="nil"/>
              <w:tr2bl w:val="nil"/>
            </w:tcBorders>
            <w:noWrap w:val="0"/>
            <w:vAlign w:val="center"/>
          </w:tcPr>
          <w:p w14:paraId="067636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550" w:type="dxa"/>
            <w:vMerge w:val="continue"/>
            <w:tcBorders>
              <w:tl2br w:val="nil"/>
              <w:tr2bl w:val="nil"/>
            </w:tcBorders>
            <w:noWrap w:val="0"/>
            <w:vAlign w:val="center"/>
          </w:tcPr>
          <w:p w14:paraId="33FAFE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2641" w:type="dxa"/>
            <w:tcBorders>
              <w:tl2br w:val="nil"/>
              <w:tr2bl w:val="nil"/>
            </w:tcBorders>
            <w:noWrap w:val="0"/>
            <w:vAlign w:val="center"/>
          </w:tcPr>
          <w:p w14:paraId="6C1D71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预算执行率</w:t>
            </w:r>
          </w:p>
        </w:tc>
        <w:tc>
          <w:tcPr>
            <w:tcW w:w="961" w:type="dxa"/>
            <w:tcBorders>
              <w:tl2br w:val="nil"/>
              <w:tr2bl w:val="nil"/>
            </w:tcBorders>
            <w:noWrap w:val="0"/>
            <w:vAlign w:val="center"/>
          </w:tcPr>
          <w:p w14:paraId="6FC93B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73" w:type="dxa"/>
            <w:tcBorders>
              <w:top w:val="single" w:color="000000" w:sz="4" w:space="0"/>
              <w:bottom w:val="single" w:color="000000" w:sz="4" w:space="0"/>
              <w:right w:val="nil"/>
              <w:tl2br w:val="nil"/>
              <w:tr2bl w:val="nil"/>
            </w:tcBorders>
            <w:noWrap w:val="0"/>
            <w:vAlign w:val="center"/>
          </w:tcPr>
          <w:p w14:paraId="36E6672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r>
      <w:tr w14:paraId="57A9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487" w:type="dxa"/>
            <w:vMerge w:val="continue"/>
            <w:tcBorders>
              <w:left w:val="nil"/>
              <w:tl2br w:val="nil"/>
              <w:tr2bl w:val="nil"/>
            </w:tcBorders>
            <w:noWrap w:val="0"/>
            <w:vAlign w:val="center"/>
          </w:tcPr>
          <w:p w14:paraId="3A4494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5" w:type="dxa"/>
            <w:vMerge w:val="continue"/>
            <w:tcBorders>
              <w:tl2br w:val="nil"/>
              <w:tr2bl w:val="nil"/>
            </w:tcBorders>
            <w:noWrap w:val="0"/>
            <w:vAlign w:val="center"/>
          </w:tcPr>
          <w:p w14:paraId="5F0FD8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550" w:type="dxa"/>
            <w:vMerge w:val="continue"/>
            <w:tcBorders>
              <w:tl2br w:val="nil"/>
              <w:tr2bl w:val="nil"/>
            </w:tcBorders>
            <w:noWrap w:val="0"/>
            <w:vAlign w:val="center"/>
          </w:tcPr>
          <w:p w14:paraId="766DD0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2641" w:type="dxa"/>
            <w:tcBorders>
              <w:tl2br w:val="nil"/>
              <w:tr2bl w:val="nil"/>
            </w:tcBorders>
            <w:noWrap w:val="0"/>
            <w:vAlign w:val="center"/>
          </w:tcPr>
          <w:p w14:paraId="1D416B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资金使用合规性</w:t>
            </w:r>
          </w:p>
        </w:tc>
        <w:tc>
          <w:tcPr>
            <w:tcW w:w="961" w:type="dxa"/>
            <w:tcBorders>
              <w:tl2br w:val="nil"/>
              <w:tr2bl w:val="nil"/>
            </w:tcBorders>
            <w:noWrap w:val="0"/>
            <w:vAlign w:val="center"/>
          </w:tcPr>
          <w:p w14:paraId="4E9D99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73" w:type="dxa"/>
            <w:tcBorders>
              <w:top w:val="single" w:color="000000" w:sz="4" w:space="0"/>
              <w:bottom w:val="single" w:color="000000" w:sz="4" w:space="0"/>
              <w:right w:val="nil"/>
              <w:tl2br w:val="nil"/>
              <w:tr2bl w:val="nil"/>
            </w:tcBorders>
            <w:noWrap w:val="0"/>
            <w:vAlign w:val="center"/>
          </w:tcPr>
          <w:p w14:paraId="0C6DE65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r>
      <w:tr w14:paraId="22B3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487" w:type="dxa"/>
            <w:vMerge w:val="continue"/>
            <w:tcBorders>
              <w:left w:val="nil"/>
              <w:tl2br w:val="nil"/>
              <w:tr2bl w:val="nil"/>
            </w:tcBorders>
            <w:noWrap w:val="0"/>
            <w:vAlign w:val="center"/>
          </w:tcPr>
          <w:p w14:paraId="585CA6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5" w:type="dxa"/>
            <w:vMerge w:val="continue"/>
            <w:tcBorders>
              <w:tl2br w:val="nil"/>
              <w:tr2bl w:val="nil"/>
            </w:tcBorders>
            <w:noWrap w:val="0"/>
            <w:vAlign w:val="center"/>
          </w:tcPr>
          <w:p w14:paraId="3A15E8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550" w:type="dxa"/>
            <w:vMerge w:val="restart"/>
            <w:tcBorders>
              <w:tl2br w:val="nil"/>
              <w:tr2bl w:val="nil"/>
            </w:tcBorders>
            <w:noWrap w:val="0"/>
            <w:vAlign w:val="center"/>
          </w:tcPr>
          <w:p w14:paraId="518816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组织实施</w:t>
            </w:r>
          </w:p>
        </w:tc>
        <w:tc>
          <w:tcPr>
            <w:tcW w:w="2641" w:type="dxa"/>
            <w:tcBorders>
              <w:tl2br w:val="nil"/>
              <w:tr2bl w:val="nil"/>
            </w:tcBorders>
            <w:noWrap w:val="0"/>
            <w:vAlign w:val="center"/>
          </w:tcPr>
          <w:p w14:paraId="135917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管理制度健全性</w:t>
            </w:r>
          </w:p>
        </w:tc>
        <w:tc>
          <w:tcPr>
            <w:tcW w:w="961" w:type="dxa"/>
            <w:tcBorders>
              <w:tl2br w:val="nil"/>
              <w:tr2bl w:val="nil"/>
            </w:tcBorders>
            <w:noWrap w:val="0"/>
            <w:vAlign w:val="center"/>
          </w:tcPr>
          <w:p w14:paraId="78E165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73" w:type="dxa"/>
            <w:tcBorders>
              <w:top w:val="single" w:color="000000" w:sz="4" w:space="0"/>
              <w:bottom w:val="single" w:color="000000" w:sz="4" w:space="0"/>
              <w:right w:val="nil"/>
              <w:tl2br w:val="nil"/>
              <w:tr2bl w:val="nil"/>
            </w:tcBorders>
            <w:noWrap w:val="0"/>
            <w:vAlign w:val="center"/>
          </w:tcPr>
          <w:p w14:paraId="311875D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r>
      <w:tr w14:paraId="4347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487" w:type="dxa"/>
            <w:vMerge w:val="continue"/>
            <w:tcBorders>
              <w:left w:val="nil"/>
              <w:tl2br w:val="nil"/>
              <w:tr2bl w:val="nil"/>
            </w:tcBorders>
            <w:noWrap w:val="0"/>
            <w:vAlign w:val="center"/>
          </w:tcPr>
          <w:p w14:paraId="20BC03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5" w:type="dxa"/>
            <w:vMerge w:val="continue"/>
            <w:tcBorders>
              <w:tl2br w:val="nil"/>
              <w:tr2bl w:val="nil"/>
            </w:tcBorders>
            <w:noWrap w:val="0"/>
            <w:vAlign w:val="center"/>
          </w:tcPr>
          <w:p w14:paraId="4A8AE2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550" w:type="dxa"/>
            <w:vMerge w:val="continue"/>
            <w:tcBorders>
              <w:tl2br w:val="nil"/>
              <w:tr2bl w:val="nil"/>
            </w:tcBorders>
            <w:noWrap w:val="0"/>
            <w:vAlign w:val="center"/>
          </w:tcPr>
          <w:p w14:paraId="5F0F25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2641" w:type="dxa"/>
            <w:tcBorders>
              <w:tl2br w:val="nil"/>
              <w:tr2bl w:val="nil"/>
            </w:tcBorders>
            <w:noWrap w:val="0"/>
            <w:vAlign w:val="center"/>
          </w:tcPr>
          <w:p w14:paraId="5750ED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制度执行有效性</w:t>
            </w:r>
          </w:p>
        </w:tc>
        <w:tc>
          <w:tcPr>
            <w:tcW w:w="961" w:type="dxa"/>
            <w:tcBorders>
              <w:tl2br w:val="nil"/>
              <w:tr2bl w:val="nil"/>
            </w:tcBorders>
            <w:noWrap w:val="0"/>
            <w:vAlign w:val="center"/>
          </w:tcPr>
          <w:p w14:paraId="7FDCA0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1173" w:type="dxa"/>
            <w:tcBorders>
              <w:top w:val="single" w:color="000000" w:sz="4" w:space="0"/>
              <w:bottom w:val="single" w:color="000000" w:sz="4" w:space="0"/>
              <w:right w:val="nil"/>
              <w:tl2br w:val="nil"/>
              <w:tr2bl w:val="nil"/>
            </w:tcBorders>
            <w:noWrap w:val="0"/>
            <w:vAlign w:val="center"/>
          </w:tcPr>
          <w:p w14:paraId="7C9A3E7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r>
      <w:tr w14:paraId="5C74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5" w:hRule="atLeast"/>
        </w:trPr>
        <w:tc>
          <w:tcPr>
            <w:tcW w:w="1487" w:type="dxa"/>
            <w:tcBorders>
              <w:left w:val="nil"/>
              <w:tl2br w:val="nil"/>
              <w:tr2bl w:val="nil"/>
            </w:tcBorders>
            <w:noWrap w:val="0"/>
            <w:vAlign w:val="center"/>
          </w:tcPr>
          <w:p w14:paraId="605C94A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合计</w:t>
            </w:r>
          </w:p>
        </w:tc>
        <w:tc>
          <w:tcPr>
            <w:tcW w:w="805" w:type="dxa"/>
            <w:tcBorders>
              <w:tl2br w:val="nil"/>
              <w:tr2bl w:val="nil"/>
            </w:tcBorders>
            <w:noWrap w:val="0"/>
            <w:vAlign w:val="center"/>
          </w:tcPr>
          <w:p w14:paraId="0A19D4B4">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16</w:t>
            </w:r>
          </w:p>
        </w:tc>
        <w:tc>
          <w:tcPr>
            <w:tcW w:w="1550" w:type="dxa"/>
            <w:tcBorders>
              <w:tl2br w:val="nil"/>
              <w:tr2bl w:val="nil"/>
            </w:tcBorders>
            <w:noWrap w:val="0"/>
            <w:vAlign w:val="center"/>
          </w:tcPr>
          <w:p w14:paraId="2EDF6D7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w:t>
            </w:r>
          </w:p>
        </w:tc>
        <w:tc>
          <w:tcPr>
            <w:tcW w:w="2641" w:type="dxa"/>
            <w:tcBorders>
              <w:tl2br w:val="nil"/>
              <w:tr2bl w:val="nil"/>
            </w:tcBorders>
            <w:noWrap w:val="0"/>
            <w:vAlign w:val="center"/>
          </w:tcPr>
          <w:p w14:paraId="572838D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w:t>
            </w:r>
          </w:p>
        </w:tc>
        <w:tc>
          <w:tcPr>
            <w:tcW w:w="961" w:type="dxa"/>
            <w:tcBorders>
              <w:tl2br w:val="nil"/>
              <w:tr2bl w:val="nil"/>
            </w:tcBorders>
            <w:noWrap w:val="0"/>
            <w:vAlign w:val="center"/>
          </w:tcPr>
          <w:p w14:paraId="4AD1EDA0">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16</w:t>
            </w:r>
          </w:p>
        </w:tc>
        <w:tc>
          <w:tcPr>
            <w:tcW w:w="1173" w:type="dxa"/>
            <w:tcBorders>
              <w:right w:val="nil"/>
              <w:tl2br w:val="nil"/>
              <w:tr2bl w:val="nil"/>
            </w:tcBorders>
            <w:noWrap w:val="0"/>
            <w:vAlign w:val="center"/>
          </w:tcPr>
          <w:p w14:paraId="086CDE96">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default" w:ascii="仿宋_GB2312" w:hAnsi="仿宋_GB2312" w:eastAsia="仿宋_GB2312" w:cs="仿宋_GB2312"/>
                <w:b/>
                <w:bCs/>
                <w:i w:val="0"/>
                <w:iCs w:val="0"/>
                <w:color w:val="000000"/>
                <w:kern w:val="0"/>
                <w:sz w:val="24"/>
                <w:szCs w:val="24"/>
                <w:highlight w:val="none"/>
                <w:u w:val="none"/>
                <w:lang w:val="en-US" w:eastAsia="zh-CN" w:bidi="ar"/>
              </w:rPr>
              <w:fldChar w:fldCharType="begin"/>
            </w:r>
            <w:r>
              <w:rPr>
                <w:rFonts w:hint="default" w:ascii="仿宋_GB2312" w:hAnsi="仿宋_GB2312" w:eastAsia="仿宋_GB2312" w:cs="仿宋_GB2312"/>
                <w:b/>
                <w:bCs/>
                <w:i w:val="0"/>
                <w:iCs w:val="0"/>
                <w:color w:val="000000"/>
                <w:kern w:val="0"/>
                <w:sz w:val="24"/>
                <w:szCs w:val="24"/>
                <w:highlight w:val="none"/>
                <w:u w:val="none"/>
                <w:lang w:val="en-US" w:eastAsia="zh-CN" w:bidi="ar"/>
              </w:rPr>
              <w:instrText xml:space="preserve"> = sum(F2:F6) \* MERGEFORMAT </w:instrText>
            </w:r>
            <w:r>
              <w:rPr>
                <w:rFonts w:hint="default" w:ascii="仿宋_GB2312" w:hAnsi="仿宋_GB2312" w:eastAsia="仿宋_GB2312" w:cs="仿宋_GB2312"/>
                <w:b/>
                <w:bCs/>
                <w:i w:val="0"/>
                <w:iCs w:val="0"/>
                <w:color w:val="000000"/>
                <w:kern w:val="0"/>
                <w:sz w:val="24"/>
                <w:szCs w:val="24"/>
                <w:highlight w:val="none"/>
                <w:u w:val="none"/>
                <w:lang w:val="en-US" w:eastAsia="zh-CN" w:bidi="ar"/>
              </w:rPr>
              <w:fldChar w:fldCharType="separate"/>
            </w:r>
            <w:r>
              <w:rPr>
                <w:rFonts w:hint="default" w:ascii="仿宋_GB2312" w:hAnsi="仿宋_GB2312" w:eastAsia="仿宋_GB2312" w:cs="仿宋_GB2312"/>
                <w:b/>
                <w:bCs/>
                <w:i w:val="0"/>
                <w:iCs w:val="0"/>
                <w:color w:val="000000"/>
                <w:kern w:val="0"/>
                <w:sz w:val="24"/>
                <w:szCs w:val="24"/>
                <w:highlight w:val="none"/>
                <w:u w:val="none"/>
                <w:lang w:val="en-US" w:eastAsia="zh-CN" w:bidi="ar"/>
              </w:rPr>
              <w:t>14</w:t>
            </w:r>
            <w:r>
              <w:rPr>
                <w:rFonts w:hint="default" w:ascii="仿宋_GB2312" w:hAnsi="仿宋_GB2312" w:eastAsia="仿宋_GB2312" w:cs="仿宋_GB2312"/>
                <w:b/>
                <w:bCs/>
                <w:i w:val="0"/>
                <w:iCs w:val="0"/>
                <w:color w:val="000000"/>
                <w:kern w:val="0"/>
                <w:sz w:val="24"/>
                <w:szCs w:val="24"/>
                <w:highlight w:val="none"/>
                <w:u w:val="none"/>
                <w:lang w:val="en-US" w:eastAsia="zh-CN" w:bidi="ar"/>
              </w:rPr>
              <w:fldChar w:fldCharType="end"/>
            </w:r>
          </w:p>
        </w:tc>
      </w:tr>
    </w:tbl>
    <w:p w14:paraId="49A931C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1.资金管理方面</w:t>
      </w:r>
    </w:p>
    <w:p w14:paraId="31F79CB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（1）资金到位率方面。</w:t>
      </w:r>
      <w:r>
        <w:rPr>
          <w:rFonts w:hint="eastAsia" w:ascii="仿宋_GB2312" w:hAnsi="仿宋_GB2312" w:eastAsia="仿宋_GB2312" w:cs="仿宋_GB2312"/>
          <w:color w:val="auto"/>
          <w:kern w:val="2"/>
          <w:sz w:val="32"/>
          <w:szCs w:val="32"/>
          <w:lang w:val="en-US" w:eastAsia="zh-CN" w:bidi="ar-SA"/>
        </w:rPr>
        <w:t>截至评价日</w:t>
      </w:r>
      <w:r>
        <w:rPr>
          <w:rFonts w:ascii="仿宋_GB2312" w:hAnsi="仿宋_GB2312" w:eastAsia="仿宋_GB2312" w:cs="仿宋_GB2312"/>
          <w:color w:val="auto"/>
          <w:kern w:val="2"/>
          <w:sz w:val="32"/>
          <w:szCs w:val="32"/>
          <w:lang w:bidi="ar-SA"/>
        </w:rPr>
        <w:t>，</w:t>
      </w:r>
      <w:r>
        <w:rPr>
          <w:rFonts w:hint="eastAsia" w:ascii="仿宋_GB2312" w:hAnsi="仿宋_GB2312" w:eastAsia="仿宋_GB2312" w:cs="仿宋_GB2312"/>
          <w:color w:val="auto"/>
          <w:kern w:val="2"/>
          <w:sz w:val="32"/>
          <w:szCs w:val="32"/>
          <w:lang w:val="en-US" w:eastAsia="zh-CN" w:bidi="ar-SA"/>
        </w:rPr>
        <w:t>该</w:t>
      </w:r>
      <w:r>
        <w:rPr>
          <w:rFonts w:ascii="仿宋_GB2312" w:hAnsi="仿宋_GB2312" w:eastAsia="仿宋_GB2312" w:cs="仿宋_GB2312"/>
          <w:color w:val="auto"/>
          <w:kern w:val="2"/>
          <w:sz w:val="32"/>
          <w:szCs w:val="32"/>
          <w:lang w:bidi="ar-SA"/>
        </w:rPr>
        <w:t>项目</w:t>
      </w:r>
      <w:r>
        <w:rPr>
          <w:rFonts w:hint="eastAsia" w:ascii="仿宋_GB2312" w:hAnsi="仿宋_GB2312" w:eastAsia="仿宋_GB2312" w:cs="仿宋_GB2312"/>
          <w:color w:val="auto"/>
          <w:kern w:val="2"/>
          <w:sz w:val="32"/>
          <w:szCs w:val="32"/>
          <w:lang w:val="en-US" w:eastAsia="zh-CN" w:bidi="ar-SA"/>
        </w:rPr>
        <w:t>到位</w:t>
      </w:r>
      <w:r>
        <w:rPr>
          <w:rFonts w:ascii="仿宋_GB2312" w:hAnsi="仿宋_GB2312" w:eastAsia="仿宋_GB2312" w:cs="仿宋_GB2312"/>
          <w:color w:val="auto"/>
          <w:kern w:val="2"/>
          <w:sz w:val="32"/>
          <w:szCs w:val="32"/>
          <w:lang w:bidi="ar-SA"/>
        </w:rPr>
        <w:t>资金</w:t>
      </w:r>
      <w:r>
        <w:rPr>
          <w:rFonts w:hint="eastAsia" w:ascii="仿宋_GB2312" w:hAnsi="仿宋_GB2312" w:eastAsia="仿宋_GB2312" w:cs="仿宋_GB2312"/>
          <w:color w:val="auto"/>
          <w:kern w:val="2"/>
          <w:sz w:val="32"/>
          <w:szCs w:val="32"/>
          <w:lang w:val="en-US" w:eastAsia="zh-CN" w:bidi="ar-SA"/>
        </w:rPr>
        <w:t>30.00万元</w:t>
      </w:r>
      <w:r>
        <w:rPr>
          <w:rFonts w:ascii="仿宋_GB2312" w:hAnsi="仿宋_GB2312" w:eastAsia="仿宋_GB2312" w:cs="仿宋_GB2312"/>
          <w:color w:val="auto"/>
          <w:kern w:val="2"/>
          <w:sz w:val="32"/>
          <w:szCs w:val="32"/>
          <w:lang w:bidi="ar-SA"/>
        </w:rPr>
        <w:t>，预算资金到位率100</w:t>
      </w:r>
      <w:r>
        <w:rPr>
          <w:rFonts w:hint="eastAsia" w:ascii="仿宋_GB2312" w:hAnsi="仿宋_GB2312" w:eastAsia="仿宋_GB2312" w:cs="仿宋_GB2312"/>
          <w:color w:val="auto"/>
          <w:kern w:val="2"/>
          <w:sz w:val="32"/>
          <w:szCs w:val="32"/>
          <w:lang w:val="en-US" w:eastAsia="zh-CN" w:bidi="ar-SA"/>
        </w:rPr>
        <w:t>.00</w:t>
      </w:r>
      <w:r>
        <w:rPr>
          <w:rFonts w:ascii="仿宋_GB2312" w:hAnsi="仿宋_GB2312" w:eastAsia="仿宋_GB2312" w:cs="仿宋_GB2312"/>
          <w:color w:val="auto"/>
          <w:kern w:val="2"/>
          <w:sz w:val="32"/>
          <w:szCs w:val="32"/>
          <w:lang w:bidi="ar-SA"/>
        </w:rPr>
        <w:t>%</w:t>
      </w:r>
      <w:r>
        <w:rPr>
          <w:rFonts w:hint="eastAsia" w:ascii="仿宋_GB2312" w:hAnsi="仿宋_GB2312" w:eastAsia="仿宋_GB2312" w:cs="仿宋_GB2312"/>
          <w:color w:val="auto"/>
          <w:sz w:val="32"/>
          <w:szCs w:val="32"/>
          <w:highlight w:val="none"/>
          <w:lang w:val="en-US" w:eastAsia="zh-CN"/>
        </w:rPr>
        <w:t>。</w:t>
      </w:r>
    </w:p>
    <w:p w14:paraId="0736EAE2">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highlight w:val="none"/>
          <w:lang w:val="en-US" w:eastAsia="zh-CN"/>
        </w:rPr>
        <w:t>（2）预算执行率方面。</w:t>
      </w:r>
      <w:r>
        <w:rPr>
          <w:rFonts w:ascii="仿宋_GB2312" w:hAnsi="仿宋_GB2312" w:eastAsia="仿宋_GB2312" w:cs="仿宋_GB2312"/>
          <w:b w:val="0"/>
          <w:bCs w:val="0"/>
          <w:color w:val="auto"/>
          <w:kern w:val="2"/>
          <w:sz w:val="32"/>
          <w:szCs w:val="32"/>
          <w:lang w:bidi="ar-SA"/>
        </w:rPr>
        <w:t>项目到位预算资金为300,000.00元，截至评价日，实际支出为303,462.10元（其中支付第三方公司运行维护费280,000.00元；支付污水处理厂渠道及排水管网费用23,462.10元）。财政到位预算资金执行率100</w:t>
      </w:r>
      <w:r>
        <w:rPr>
          <w:rFonts w:hint="eastAsia" w:ascii="仿宋_GB2312" w:hAnsi="仿宋_GB2312" w:eastAsia="仿宋_GB2312" w:cs="仿宋_GB2312"/>
          <w:b w:val="0"/>
          <w:bCs w:val="0"/>
          <w:color w:val="auto"/>
          <w:kern w:val="2"/>
          <w:sz w:val="32"/>
          <w:szCs w:val="32"/>
          <w:lang w:val="en-US" w:eastAsia="zh-CN" w:bidi="ar-SA"/>
        </w:rPr>
        <w:t>.00</w:t>
      </w:r>
      <w:r>
        <w:rPr>
          <w:rFonts w:ascii="仿宋_GB2312" w:hAnsi="仿宋_GB2312" w:eastAsia="仿宋_GB2312" w:cs="仿宋_GB2312"/>
          <w:b w:val="0"/>
          <w:bCs w:val="0"/>
          <w:color w:val="auto"/>
          <w:kern w:val="2"/>
          <w:sz w:val="32"/>
          <w:szCs w:val="32"/>
          <w:lang w:bidi="ar-SA"/>
        </w:rPr>
        <w:t>%，超出部分由杏林镇人民政府以其他资金补足</w:t>
      </w:r>
      <w:r>
        <w:rPr>
          <w:rFonts w:hint="eastAsia" w:ascii="仿宋_GB2312" w:hAnsi="仿宋_GB2312" w:eastAsia="仿宋_GB2312" w:cs="仿宋_GB2312"/>
          <w:color w:val="auto"/>
          <w:kern w:val="2"/>
          <w:sz w:val="32"/>
          <w:szCs w:val="32"/>
          <w:lang w:val="en-US" w:eastAsia="zh-CN" w:bidi="ar-SA"/>
        </w:rPr>
        <w:t>。</w:t>
      </w:r>
    </w:p>
    <w:p w14:paraId="39A2D64A">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（3）资金使用合规性方面。项目资金支出符合国家有关政策及专项资金管理办法等相关规定，手续齐全，未发现资金截留、挤占、挪用、虚列支出等现象。</w:t>
      </w:r>
    </w:p>
    <w:p w14:paraId="1950A31E">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2.组织实施方面</w:t>
      </w:r>
    </w:p>
    <w:p w14:paraId="28543E28">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highlight w:val="none"/>
          <w:lang w:val="en-US" w:eastAsia="zh-CN"/>
        </w:rPr>
        <w:t>（1）管理制度健全性方面。</w:t>
      </w:r>
      <w:r>
        <w:rPr>
          <w:rFonts w:ascii="仿宋_GB2312" w:hAnsi="仿宋_GB2312" w:eastAsia="仿宋_GB2312" w:cs="仿宋_GB2312"/>
          <w:color w:val="auto"/>
          <w:kern w:val="2"/>
          <w:sz w:val="32"/>
          <w:szCs w:val="32"/>
          <w:lang w:bidi="ar-SA"/>
        </w:rPr>
        <w:t>项目</w:t>
      </w:r>
      <w:r>
        <w:rPr>
          <w:rFonts w:hint="eastAsia" w:ascii="仿宋_GB2312" w:hAnsi="仿宋_GB2312" w:eastAsia="仿宋_GB2312" w:cs="仿宋_GB2312"/>
          <w:color w:val="auto"/>
          <w:kern w:val="2"/>
          <w:sz w:val="32"/>
          <w:szCs w:val="32"/>
          <w:lang w:val="en-US" w:eastAsia="zh-CN" w:bidi="ar-SA"/>
        </w:rPr>
        <w:t>实施</w:t>
      </w:r>
      <w:r>
        <w:rPr>
          <w:rFonts w:ascii="仿宋_GB2312" w:hAnsi="仿宋_GB2312" w:eastAsia="仿宋_GB2312" w:cs="仿宋_GB2312"/>
          <w:color w:val="auto"/>
          <w:kern w:val="2"/>
          <w:sz w:val="32"/>
          <w:szCs w:val="32"/>
          <w:lang w:bidi="ar-SA"/>
        </w:rPr>
        <w:t>单位现有制度体系尚不健全，缺少财务管理制度、专项资金管理办法</w:t>
      </w:r>
      <w:r>
        <w:rPr>
          <w:rFonts w:hint="eastAsia" w:ascii="仿宋_GB2312" w:hAnsi="仿宋_GB2312" w:eastAsia="仿宋_GB2312" w:cs="仿宋_GB2312"/>
          <w:color w:val="auto"/>
          <w:kern w:val="2"/>
          <w:sz w:val="32"/>
          <w:szCs w:val="32"/>
          <w:lang w:val="en-US" w:eastAsia="zh-CN" w:bidi="ar-SA"/>
        </w:rPr>
        <w:t>及项目管理办法</w:t>
      </w:r>
      <w:r>
        <w:rPr>
          <w:rFonts w:ascii="仿宋_GB2312" w:hAnsi="仿宋_GB2312" w:eastAsia="仿宋_GB2312" w:cs="仿宋_GB2312"/>
          <w:color w:val="auto"/>
          <w:kern w:val="2"/>
          <w:sz w:val="32"/>
          <w:szCs w:val="32"/>
          <w:lang w:bidi="ar-SA"/>
        </w:rPr>
        <w:t>等。</w:t>
      </w:r>
    </w:p>
    <w:p w14:paraId="4C56AC8A">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制度执行有效性方面。项目单位能够遵守相关法律法规及各项管理规定，项目调整及支出手续基本完备，项目实施过程资料和报账资料也较为齐全。然而，在制度执行方面仍存在一些不足，具体表现为以下两点</w:t>
      </w:r>
      <w:r>
        <w:rPr>
          <w:rFonts w:ascii="仿宋_GB2312" w:hAnsi="仿宋_GB2312" w:eastAsia="仿宋_GB2312" w:cs="仿宋_GB2312"/>
          <w:color w:val="auto"/>
          <w:kern w:val="2"/>
          <w:sz w:val="32"/>
          <w:szCs w:val="32"/>
          <w:lang w:bidi="ar-SA"/>
        </w:rPr>
        <w:t>：一是未见项目实施单位对杏林镇污水处理厂进行日常监督及检查的相关记录资料；二是杏林镇污水处理厂的运营和日常管理有待进一步提升。具体表现为：污水处理厂的日常运维记录不够详尽，部分关键设备的维护保养记录缺失，未能按照合同要求每季度向杏林镇人民政府提交《污水处理站水质检测月统计表》、《污水站工艺、设备巡检记录表》、</w:t>
      </w:r>
      <w:r>
        <w:rPr>
          <w:rFonts w:hint="eastAsia" w:ascii="仿宋_GB2312" w:hAnsi="仿宋_GB2312" w:eastAsia="仿宋_GB2312" w:cs="仿宋_GB2312"/>
          <w:color w:val="auto"/>
          <w:kern w:val="2"/>
          <w:sz w:val="32"/>
          <w:szCs w:val="32"/>
          <w:lang w:val="en-US" w:eastAsia="zh-CN" w:bidi="ar-SA"/>
        </w:rPr>
        <w:t>生态环境部</w:t>
      </w:r>
      <w:r>
        <w:rPr>
          <w:rFonts w:ascii="仿宋_GB2312" w:hAnsi="仿宋_GB2312" w:eastAsia="仿宋_GB2312" w:cs="仿宋_GB2312"/>
          <w:color w:val="auto"/>
          <w:kern w:val="2"/>
          <w:sz w:val="32"/>
          <w:szCs w:val="32"/>
          <w:lang w:bidi="ar-SA"/>
        </w:rPr>
        <w:t>门报告、污水处理情况及相关数据的书面报告；三是项目自评工作不够规范，内容不够详实。</w:t>
      </w:r>
    </w:p>
    <w:p w14:paraId="3C430AC6">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评价组认为，从整体来看</w:t>
      </w:r>
      <w:r>
        <w:rPr>
          <w:rFonts w:hint="eastAsia" w:ascii="仿宋_GB2312" w:hAnsi="仿宋_GB2312" w:eastAsia="仿宋_GB2312" w:cs="仿宋_GB2312"/>
          <w:color w:val="000000"/>
          <w:kern w:val="2"/>
          <w:sz w:val="32"/>
          <w:szCs w:val="32"/>
          <w:lang w:val="en-US" w:eastAsia="zh-CN" w:bidi="ar-SA"/>
        </w:rPr>
        <w:t>，项目</w:t>
      </w:r>
      <w:r>
        <w:rPr>
          <w:rFonts w:hint="eastAsia" w:ascii="仿宋_GB2312" w:hAnsi="仿宋_GB2312" w:eastAsia="仿宋_GB2312" w:cs="仿宋_GB2312"/>
          <w:color w:val="auto"/>
          <w:kern w:val="2"/>
          <w:sz w:val="32"/>
          <w:szCs w:val="32"/>
          <w:lang w:val="en-US" w:eastAsia="zh-CN" w:bidi="ar-SA"/>
        </w:rPr>
        <w:t>资金使用符合规定</w:t>
      </w:r>
      <w:r>
        <w:rPr>
          <w:rFonts w:hint="eastAsia" w:ascii="仿宋_GB2312" w:hAnsi="仿宋_GB2312" w:eastAsia="仿宋_GB2312" w:cs="仿宋_GB2312"/>
          <w:kern w:val="2"/>
          <w:sz w:val="32"/>
          <w:szCs w:val="32"/>
          <w:lang w:bidi="ar-SA"/>
        </w:rPr>
        <w:t>，手续完备，未发现资金截留、挤占、挪用或虚列支出等违规行为。</w:t>
      </w:r>
      <w:r>
        <w:rPr>
          <w:rFonts w:hint="eastAsia" w:ascii="仿宋_GB2312" w:hAnsi="仿宋_GB2312" w:eastAsia="仿宋_GB2312" w:cs="仿宋_GB2312"/>
          <w:kern w:val="2"/>
          <w:sz w:val="32"/>
          <w:szCs w:val="32"/>
          <w:lang w:val="en-US" w:eastAsia="zh-CN" w:bidi="ar-SA"/>
        </w:rPr>
        <w:t>但</w:t>
      </w:r>
      <w:r>
        <w:rPr>
          <w:rFonts w:hint="eastAsia" w:ascii="仿宋_GB2312" w:hAnsi="仿宋_GB2312" w:eastAsia="仿宋_GB2312" w:cs="仿宋_GB2312"/>
          <w:kern w:val="2"/>
          <w:sz w:val="32"/>
          <w:szCs w:val="32"/>
          <w:lang w:bidi="ar-SA"/>
        </w:rPr>
        <w:t>项目在相关制度的执行方面存在不足</w:t>
      </w:r>
      <w:r>
        <w:rPr>
          <w:rFonts w:hint="eastAsia" w:ascii="仿宋_GB2312" w:hAnsi="仿宋_GB2312" w:eastAsia="仿宋_GB2312" w:cs="仿宋_GB2312"/>
          <w:color w:val="auto"/>
          <w:sz w:val="32"/>
          <w:szCs w:val="32"/>
          <w:highlight w:val="none"/>
          <w:lang w:val="en-US" w:eastAsia="zh-CN"/>
        </w:rPr>
        <w:t>。</w:t>
      </w:r>
    </w:p>
    <w:p w14:paraId="75CA766D">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（三）项目成本情况</w:t>
      </w:r>
    </w:p>
    <w:p w14:paraId="27701F0E">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color w:val="auto"/>
          <w:sz w:val="32"/>
          <w:szCs w:val="32"/>
          <w:highlight w:val="none"/>
          <w:lang w:val="en-US" w:eastAsia="zh-CN"/>
        </w:rPr>
        <w:t>项目成本从经济成本、社会成本、生态环境成本三个方面进行评价。项目成本满分13分，得分8分。具体得分详见表9。</w:t>
      </w:r>
    </w:p>
    <w:p w14:paraId="11081796">
      <w:pPr>
        <w:pStyle w:val="8"/>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66" w:firstLineChars="200"/>
        <w:jc w:val="center"/>
        <w:textAlignment w:val="auto"/>
        <w:rPr>
          <w:rFonts w:hint="eastAsia" w:ascii="仿宋_GB2312" w:hAnsi="仿宋_GB2312" w:eastAsia="仿宋_GB2312" w:cs="仿宋_GB2312"/>
          <w:b/>
          <w:bCs/>
          <w:kern w:val="2"/>
          <w:sz w:val="28"/>
          <w:szCs w:val="28"/>
          <w:highlight w:val="none"/>
          <w:lang w:val="en-US" w:eastAsia="zh-CN" w:bidi="ar-SA"/>
        </w:rPr>
      </w:pPr>
    </w:p>
    <w:p w14:paraId="1F3BEB89">
      <w:pPr>
        <w:pStyle w:val="8"/>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66" w:firstLineChars="200"/>
        <w:jc w:val="center"/>
        <w:textAlignment w:val="auto"/>
        <w:rPr>
          <w:rFonts w:hint="eastAsia" w:ascii="仿宋_GB2312" w:hAnsi="仿宋_GB2312" w:eastAsia="仿宋_GB2312" w:cs="仿宋_GB2312"/>
          <w:b/>
          <w:bCs/>
          <w:kern w:val="2"/>
          <w:sz w:val="28"/>
          <w:szCs w:val="28"/>
          <w:highlight w:val="none"/>
          <w:lang w:val="en-US" w:eastAsia="zh-CN" w:bidi="ar-SA"/>
        </w:rPr>
      </w:pPr>
    </w:p>
    <w:p w14:paraId="680652CE">
      <w:pPr>
        <w:pStyle w:val="8"/>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66" w:firstLineChars="200"/>
        <w:jc w:val="center"/>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表9  项目成本绩效指标分析表</w:t>
      </w:r>
    </w:p>
    <w:tbl>
      <w:tblPr>
        <w:tblStyle w:val="15"/>
        <w:tblW w:w="8657"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805"/>
        <w:gridCol w:w="1715"/>
        <w:gridCol w:w="3215"/>
        <w:gridCol w:w="858"/>
        <w:gridCol w:w="872"/>
      </w:tblGrid>
      <w:tr w14:paraId="2089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192" w:type="dxa"/>
            <w:tcBorders>
              <w:left w:val="nil"/>
              <w:tl2br w:val="nil"/>
              <w:tr2bl w:val="nil"/>
            </w:tcBorders>
            <w:shd w:val="clear" w:color="auto" w:fill="D7D7D7"/>
            <w:noWrap w:val="0"/>
            <w:vAlign w:val="center"/>
          </w:tcPr>
          <w:p w14:paraId="012F80A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一级指标</w:t>
            </w:r>
          </w:p>
        </w:tc>
        <w:tc>
          <w:tcPr>
            <w:tcW w:w="805" w:type="dxa"/>
            <w:tcBorders>
              <w:tl2br w:val="nil"/>
              <w:tr2bl w:val="nil"/>
            </w:tcBorders>
            <w:shd w:val="clear" w:color="auto" w:fill="D7D7D7"/>
            <w:noWrap w:val="0"/>
            <w:vAlign w:val="center"/>
          </w:tcPr>
          <w:p w14:paraId="25AE110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1715" w:type="dxa"/>
            <w:tcBorders>
              <w:tl2br w:val="nil"/>
              <w:tr2bl w:val="nil"/>
            </w:tcBorders>
            <w:shd w:val="clear" w:color="auto" w:fill="D7D7D7"/>
            <w:noWrap w:val="0"/>
            <w:vAlign w:val="center"/>
          </w:tcPr>
          <w:p w14:paraId="5CAB0F2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二级指标</w:t>
            </w:r>
          </w:p>
        </w:tc>
        <w:tc>
          <w:tcPr>
            <w:tcW w:w="3215" w:type="dxa"/>
            <w:tcBorders>
              <w:tl2br w:val="nil"/>
              <w:tr2bl w:val="nil"/>
            </w:tcBorders>
            <w:shd w:val="clear" w:color="auto" w:fill="D7D7D7"/>
            <w:noWrap w:val="0"/>
            <w:vAlign w:val="center"/>
          </w:tcPr>
          <w:p w14:paraId="3DDB5E9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三级指标</w:t>
            </w:r>
          </w:p>
        </w:tc>
        <w:tc>
          <w:tcPr>
            <w:tcW w:w="858" w:type="dxa"/>
            <w:tcBorders>
              <w:tl2br w:val="nil"/>
              <w:tr2bl w:val="nil"/>
            </w:tcBorders>
            <w:shd w:val="clear" w:color="auto" w:fill="D7D7D7"/>
            <w:noWrap w:val="0"/>
            <w:vAlign w:val="center"/>
          </w:tcPr>
          <w:p w14:paraId="69334AE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w:t>
            </w:r>
          </w:p>
        </w:tc>
        <w:tc>
          <w:tcPr>
            <w:tcW w:w="872" w:type="dxa"/>
            <w:tcBorders>
              <w:right w:val="nil"/>
              <w:tl2br w:val="nil"/>
              <w:tr2bl w:val="nil"/>
            </w:tcBorders>
            <w:shd w:val="clear" w:color="auto" w:fill="D7D7D7"/>
            <w:noWrap w:val="0"/>
            <w:vAlign w:val="center"/>
          </w:tcPr>
          <w:p w14:paraId="275833A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得分</w:t>
            </w:r>
          </w:p>
        </w:tc>
      </w:tr>
      <w:tr w14:paraId="661B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92" w:type="dxa"/>
            <w:vMerge w:val="restart"/>
            <w:tcBorders>
              <w:left w:val="nil"/>
              <w:tl2br w:val="nil"/>
              <w:tr2bl w:val="nil"/>
            </w:tcBorders>
            <w:noWrap w:val="0"/>
            <w:vAlign w:val="center"/>
          </w:tcPr>
          <w:p w14:paraId="73F9C33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成本</w:t>
            </w:r>
          </w:p>
        </w:tc>
        <w:tc>
          <w:tcPr>
            <w:tcW w:w="805" w:type="dxa"/>
            <w:vMerge w:val="restart"/>
            <w:tcBorders>
              <w:tl2br w:val="nil"/>
              <w:tr2bl w:val="nil"/>
            </w:tcBorders>
            <w:noWrap w:val="0"/>
            <w:vAlign w:val="center"/>
          </w:tcPr>
          <w:p w14:paraId="20A39A2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w:t>
            </w:r>
          </w:p>
        </w:tc>
        <w:tc>
          <w:tcPr>
            <w:tcW w:w="1715" w:type="dxa"/>
            <w:tcBorders>
              <w:tl2br w:val="nil"/>
              <w:tr2bl w:val="nil"/>
            </w:tcBorders>
            <w:noWrap w:val="0"/>
            <w:vAlign w:val="center"/>
          </w:tcPr>
          <w:p w14:paraId="08F6096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经济成本</w:t>
            </w:r>
          </w:p>
        </w:tc>
        <w:tc>
          <w:tcPr>
            <w:tcW w:w="3215" w:type="dxa"/>
            <w:tcBorders>
              <w:tl2br w:val="nil"/>
              <w:tr2bl w:val="nil"/>
            </w:tcBorders>
            <w:noWrap w:val="0"/>
            <w:vAlign w:val="center"/>
          </w:tcPr>
          <w:p w14:paraId="5F37A8E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单位成本或分项成本节约率</w:t>
            </w:r>
          </w:p>
        </w:tc>
        <w:tc>
          <w:tcPr>
            <w:tcW w:w="858" w:type="dxa"/>
            <w:tcBorders>
              <w:tl2br w:val="nil"/>
              <w:tr2bl w:val="nil"/>
            </w:tcBorders>
            <w:noWrap w:val="0"/>
            <w:vAlign w:val="center"/>
          </w:tcPr>
          <w:p w14:paraId="1CEB512E">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w:t>
            </w:r>
          </w:p>
        </w:tc>
        <w:tc>
          <w:tcPr>
            <w:tcW w:w="872" w:type="dxa"/>
            <w:tcBorders>
              <w:bottom w:val="single" w:color="000000" w:sz="4" w:space="0"/>
              <w:right w:val="nil"/>
              <w:tl2br w:val="nil"/>
              <w:tr2bl w:val="nil"/>
            </w:tcBorders>
            <w:noWrap w:val="0"/>
            <w:vAlign w:val="center"/>
          </w:tcPr>
          <w:p w14:paraId="5060A311">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w:t>
            </w:r>
          </w:p>
        </w:tc>
      </w:tr>
      <w:tr w14:paraId="5428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92" w:type="dxa"/>
            <w:vMerge w:val="continue"/>
            <w:tcBorders>
              <w:left w:val="nil"/>
              <w:tl2br w:val="nil"/>
              <w:tr2bl w:val="nil"/>
            </w:tcBorders>
            <w:noWrap w:val="0"/>
            <w:vAlign w:val="center"/>
          </w:tcPr>
          <w:p w14:paraId="7832E6E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805" w:type="dxa"/>
            <w:vMerge w:val="continue"/>
            <w:tcBorders>
              <w:tl2br w:val="nil"/>
              <w:tr2bl w:val="nil"/>
            </w:tcBorders>
            <w:noWrap w:val="0"/>
            <w:vAlign w:val="center"/>
          </w:tcPr>
          <w:p w14:paraId="480C25E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1715" w:type="dxa"/>
            <w:tcBorders>
              <w:tl2br w:val="nil"/>
              <w:tr2bl w:val="nil"/>
            </w:tcBorders>
            <w:noWrap w:val="0"/>
            <w:vAlign w:val="center"/>
          </w:tcPr>
          <w:p w14:paraId="311228A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社会成本</w:t>
            </w:r>
          </w:p>
        </w:tc>
        <w:tc>
          <w:tcPr>
            <w:tcW w:w="3215" w:type="dxa"/>
            <w:tcBorders>
              <w:tl2br w:val="nil"/>
              <w:tr2bl w:val="nil"/>
            </w:tcBorders>
            <w:noWrap w:val="0"/>
            <w:vAlign w:val="center"/>
          </w:tcPr>
          <w:p w14:paraId="5BDC868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社会发展负作用</w:t>
            </w:r>
          </w:p>
        </w:tc>
        <w:tc>
          <w:tcPr>
            <w:tcW w:w="858" w:type="dxa"/>
            <w:tcBorders>
              <w:tl2br w:val="nil"/>
              <w:tr2bl w:val="nil"/>
            </w:tcBorders>
            <w:noWrap w:val="0"/>
            <w:vAlign w:val="center"/>
          </w:tcPr>
          <w:p w14:paraId="59A34A02">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w:t>
            </w:r>
          </w:p>
        </w:tc>
        <w:tc>
          <w:tcPr>
            <w:tcW w:w="872" w:type="dxa"/>
            <w:tcBorders>
              <w:top w:val="single" w:color="000000" w:sz="4" w:space="0"/>
              <w:bottom w:val="single" w:color="000000" w:sz="4" w:space="0"/>
              <w:right w:val="nil"/>
              <w:tl2br w:val="nil"/>
              <w:tr2bl w:val="nil"/>
            </w:tcBorders>
            <w:noWrap w:val="0"/>
            <w:vAlign w:val="center"/>
          </w:tcPr>
          <w:p w14:paraId="193CD931">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w:t>
            </w:r>
          </w:p>
        </w:tc>
      </w:tr>
      <w:tr w14:paraId="3A8C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92" w:type="dxa"/>
            <w:vMerge w:val="continue"/>
            <w:tcBorders>
              <w:left w:val="nil"/>
              <w:tl2br w:val="nil"/>
              <w:tr2bl w:val="nil"/>
            </w:tcBorders>
            <w:noWrap w:val="0"/>
            <w:vAlign w:val="center"/>
          </w:tcPr>
          <w:p w14:paraId="57294CD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rPr>
            </w:pPr>
          </w:p>
        </w:tc>
        <w:tc>
          <w:tcPr>
            <w:tcW w:w="805" w:type="dxa"/>
            <w:vMerge w:val="continue"/>
            <w:tcBorders>
              <w:tl2br w:val="nil"/>
              <w:tr2bl w:val="nil"/>
            </w:tcBorders>
            <w:noWrap w:val="0"/>
            <w:vAlign w:val="center"/>
          </w:tcPr>
          <w:p w14:paraId="3D03E18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p>
        </w:tc>
        <w:tc>
          <w:tcPr>
            <w:tcW w:w="1715" w:type="dxa"/>
            <w:tcBorders>
              <w:tl2br w:val="nil"/>
              <w:tr2bl w:val="nil"/>
            </w:tcBorders>
            <w:noWrap w:val="0"/>
            <w:vAlign w:val="center"/>
          </w:tcPr>
          <w:p w14:paraId="6FBDC2C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生态环境成本</w:t>
            </w:r>
          </w:p>
        </w:tc>
        <w:tc>
          <w:tcPr>
            <w:tcW w:w="3215" w:type="dxa"/>
            <w:tcBorders>
              <w:tl2br w:val="nil"/>
              <w:tr2bl w:val="nil"/>
            </w:tcBorders>
            <w:noWrap w:val="0"/>
            <w:vAlign w:val="center"/>
          </w:tcPr>
          <w:p w14:paraId="19F4B43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自然生态环境负作用</w:t>
            </w:r>
          </w:p>
        </w:tc>
        <w:tc>
          <w:tcPr>
            <w:tcW w:w="858" w:type="dxa"/>
            <w:tcBorders>
              <w:tl2br w:val="nil"/>
              <w:tr2bl w:val="nil"/>
            </w:tcBorders>
            <w:noWrap w:val="0"/>
            <w:vAlign w:val="center"/>
          </w:tcPr>
          <w:p w14:paraId="29E64EE6">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w:t>
            </w:r>
          </w:p>
        </w:tc>
        <w:tc>
          <w:tcPr>
            <w:tcW w:w="872" w:type="dxa"/>
            <w:tcBorders>
              <w:top w:val="single" w:color="000000" w:sz="4" w:space="0"/>
              <w:right w:val="nil"/>
              <w:tl2br w:val="nil"/>
              <w:tr2bl w:val="nil"/>
            </w:tcBorders>
            <w:noWrap w:val="0"/>
            <w:vAlign w:val="center"/>
          </w:tcPr>
          <w:p w14:paraId="4B4A46BC">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w:t>
            </w:r>
          </w:p>
        </w:tc>
      </w:tr>
      <w:tr w14:paraId="0173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1" w:hRule="atLeast"/>
        </w:trPr>
        <w:tc>
          <w:tcPr>
            <w:tcW w:w="1192" w:type="dxa"/>
            <w:tcBorders>
              <w:left w:val="nil"/>
              <w:tl2br w:val="nil"/>
              <w:tr2bl w:val="nil"/>
            </w:tcBorders>
            <w:noWrap w:val="0"/>
            <w:vAlign w:val="center"/>
          </w:tcPr>
          <w:p w14:paraId="12F60D95">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合计</w:t>
            </w:r>
          </w:p>
        </w:tc>
        <w:tc>
          <w:tcPr>
            <w:tcW w:w="805" w:type="dxa"/>
            <w:tcBorders>
              <w:tl2br w:val="nil"/>
              <w:tr2bl w:val="nil"/>
            </w:tcBorders>
            <w:noWrap w:val="0"/>
            <w:vAlign w:val="center"/>
          </w:tcPr>
          <w:p w14:paraId="3F8532DF">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13</w:t>
            </w:r>
          </w:p>
        </w:tc>
        <w:tc>
          <w:tcPr>
            <w:tcW w:w="1715" w:type="dxa"/>
            <w:tcBorders>
              <w:tl2br w:val="nil"/>
              <w:tr2bl w:val="nil"/>
            </w:tcBorders>
            <w:noWrap w:val="0"/>
            <w:vAlign w:val="center"/>
          </w:tcPr>
          <w:p w14:paraId="1FA73E5B">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p>
        </w:tc>
        <w:tc>
          <w:tcPr>
            <w:tcW w:w="3215" w:type="dxa"/>
            <w:tcBorders>
              <w:tl2br w:val="nil"/>
              <w:tr2bl w:val="nil"/>
            </w:tcBorders>
            <w:noWrap w:val="0"/>
            <w:vAlign w:val="center"/>
          </w:tcPr>
          <w:p w14:paraId="5053EA5F">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p>
        </w:tc>
        <w:tc>
          <w:tcPr>
            <w:tcW w:w="858" w:type="dxa"/>
            <w:tcBorders>
              <w:tl2br w:val="nil"/>
              <w:tr2bl w:val="nil"/>
            </w:tcBorders>
            <w:noWrap w:val="0"/>
            <w:vAlign w:val="center"/>
          </w:tcPr>
          <w:p w14:paraId="05D4A48A">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fldChar w:fldCharType="begin"/>
            </w:r>
            <w:r>
              <w:rPr>
                <w:rFonts w:hint="eastAsia" w:ascii="仿宋_GB2312" w:hAnsi="仿宋_GB2312" w:eastAsia="仿宋_GB2312" w:cs="仿宋_GB2312"/>
                <w:b/>
                <w:bCs/>
                <w:color w:val="auto"/>
                <w:sz w:val="24"/>
                <w:szCs w:val="24"/>
                <w:highlight w:val="none"/>
                <w:lang w:val="en-US" w:eastAsia="zh-CN"/>
              </w:rPr>
              <w:instrText xml:space="preserve"> = sum(E2:E5) \* MERGEFORMAT </w:instrText>
            </w:r>
            <w:r>
              <w:rPr>
                <w:rFonts w:hint="eastAsia" w:ascii="仿宋_GB2312" w:hAnsi="仿宋_GB2312" w:eastAsia="仿宋_GB2312" w:cs="仿宋_GB2312"/>
                <w:b/>
                <w:bCs/>
                <w:color w:val="auto"/>
                <w:sz w:val="24"/>
                <w:szCs w:val="24"/>
                <w:highlight w:val="none"/>
                <w:lang w:val="en-US" w:eastAsia="zh-CN"/>
              </w:rPr>
              <w:fldChar w:fldCharType="separate"/>
            </w:r>
            <w:r>
              <w:rPr>
                <w:rFonts w:hint="eastAsia" w:ascii="仿宋_GB2312" w:hAnsi="仿宋_GB2312" w:eastAsia="仿宋_GB2312" w:cs="仿宋_GB2312"/>
                <w:b/>
                <w:bCs/>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lang w:val="en-US" w:eastAsia="zh-CN"/>
              </w:rPr>
              <w:fldChar w:fldCharType="end"/>
            </w:r>
            <w:r>
              <w:rPr>
                <w:rFonts w:hint="eastAsia" w:ascii="仿宋_GB2312" w:hAnsi="仿宋_GB2312" w:eastAsia="仿宋_GB2312" w:cs="仿宋_GB2312"/>
                <w:b/>
                <w:bCs/>
                <w:color w:val="auto"/>
                <w:sz w:val="24"/>
                <w:szCs w:val="24"/>
                <w:highlight w:val="none"/>
                <w:lang w:val="en-US" w:eastAsia="zh-CN"/>
              </w:rPr>
              <w:t>3</w:t>
            </w:r>
          </w:p>
        </w:tc>
        <w:tc>
          <w:tcPr>
            <w:tcW w:w="872" w:type="dxa"/>
            <w:tcBorders>
              <w:right w:val="nil"/>
              <w:tl2br w:val="nil"/>
              <w:tr2bl w:val="nil"/>
            </w:tcBorders>
            <w:noWrap w:val="0"/>
            <w:vAlign w:val="center"/>
          </w:tcPr>
          <w:p w14:paraId="43C56CD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8</w:t>
            </w:r>
          </w:p>
        </w:tc>
      </w:tr>
    </w:tbl>
    <w:p w14:paraId="7A2203B9">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rightChars="0" w:firstLine="646" w:firstLineChars="200"/>
        <w:jc w:val="both"/>
        <w:textAlignment w:val="auto"/>
        <w:rPr>
          <w:rFonts w:hint="default" w:eastAsia="仿宋_GB2312"/>
          <w:color w:val="0000FF"/>
          <w:lang w:val="en-US" w:eastAsia="zh-CN"/>
        </w:rPr>
      </w:pPr>
      <w:r>
        <w:rPr>
          <w:rFonts w:ascii="仿宋_GB2312" w:hAnsi="仿宋_GB2312" w:eastAsia="仿宋_GB2312" w:cs="仿宋_GB2312"/>
          <w:color w:val="auto"/>
          <w:kern w:val="2"/>
          <w:sz w:val="32"/>
          <w:szCs w:val="32"/>
          <w:lang w:bidi="ar-SA"/>
        </w:rPr>
        <w:t>1.经济成本方面。</w:t>
      </w:r>
      <w:r>
        <w:rPr>
          <w:rFonts w:ascii="仿宋_GB2312" w:hAnsi="仿宋_GB2312" w:eastAsia="仿宋_GB2312" w:cs="仿宋_GB2312"/>
          <w:b w:val="0"/>
          <w:bCs w:val="0"/>
          <w:color w:val="auto"/>
          <w:kern w:val="2"/>
          <w:sz w:val="32"/>
          <w:szCs w:val="32"/>
          <w:lang w:bidi="ar-SA"/>
        </w:rPr>
        <w:t>项目到位预算资金为300,000.00元，实际支出为303,462.10元</w:t>
      </w:r>
      <w:r>
        <w:rPr>
          <w:rFonts w:ascii="仿宋_GB2312" w:hAnsi="仿宋_GB2312" w:eastAsia="仿宋_GB2312" w:cs="仿宋_GB2312"/>
          <w:color w:val="auto"/>
          <w:kern w:val="2"/>
          <w:sz w:val="32"/>
          <w:szCs w:val="32"/>
          <w:lang w:bidi="ar-SA"/>
        </w:rPr>
        <w:t>，项目成本节约率为负数，项目成本控制效果不佳</w:t>
      </w:r>
      <w:r>
        <w:rPr>
          <w:rFonts w:hint="eastAsia" w:ascii="仿宋_GB2312" w:hAnsi="仿宋_GB2312" w:eastAsia="仿宋_GB2312" w:cs="仿宋_GB2312"/>
          <w:color w:val="auto"/>
          <w:kern w:val="2"/>
          <w:sz w:val="32"/>
          <w:szCs w:val="32"/>
          <w:lang w:val="en-US" w:eastAsia="zh-CN" w:bidi="ar-SA"/>
        </w:rPr>
        <w:t>。</w:t>
      </w:r>
    </w:p>
    <w:p w14:paraId="02CAF294">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2.社会成本方面。</w:t>
      </w:r>
      <w:r>
        <w:rPr>
          <w:rFonts w:hint="eastAsia" w:ascii="仿宋_GB2312" w:hAnsi="仿宋_GB2312" w:eastAsia="仿宋_GB2312" w:cs="仿宋_GB2312"/>
          <w:kern w:val="2"/>
          <w:sz w:val="32"/>
          <w:szCs w:val="32"/>
          <w:lang w:bidi="ar-SA"/>
        </w:rPr>
        <w:t>该项目得到了广大人民群众的普遍支持，在实施期间未对项目区域的社会发展产生任何直接或间接的负面影响</w:t>
      </w:r>
      <w:r>
        <w:rPr>
          <w:rFonts w:hint="eastAsia" w:ascii="仿宋_GB2312" w:hAnsi="仿宋_GB2312" w:eastAsia="仿宋_GB2312" w:cs="仿宋_GB2312"/>
          <w:color w:val="auto"/>
          <w:kern w:val="2"/>
          <w:sz w:val="32"/>
          <w:szCs w:val="32"/>
          <w:highlight w:val="none"/>
          <w:lang w:val="en-US" w:eastAsia="zh-CN" w:bidi="ar-SA"/>
        </w:rPr>
        <w:t>。</w:t>
      </w:r>
    </w:p>
    <w:p w14:paraId="46CDF56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left"/>
        <w:textAlignment w:val="auto"/>
        <w:rPr>
          <w:rFonts w:ascii="仿宋_GB2312" w:hAnsi="仿宋_GB2312" w:eastAsia="仿宋_GB2312" w:cs="仿宋_GB2312"/>
          <w:color w:val="auto"/>
          <w:kern w:val="2"/>
          <w:sz w:val="32"/>
          <w:szCs w:val="32"/>
          <w:lang w:bidi="ar-SA"/>
        </w:rPr>
      </w:pPr>
      <w:r>
        <w:rPr>
          <w:rFonts w:hint="eastAsia" w:ascii="仿宋_GB2312" w:hAnsi="仿宋_GB2312" w:eastAsia="仿宋_GB2312" w:cs="仿宋_GB2312"/>
          <w:color w:val="auto"/>
          <w:sz w:val="32"/>
          <w:szCs w:val="32"/>
          <w:highlight w:val="none"/>
          <w:lang w:val="en-US" w:eastAsia="zh-CN"/>
        </w:rPr>
        <w:t>3.生态成本方面。该</w:t>
      </w:r>
      <w:r>
        <w:rPr>
          <w:rFonts w:ascii="仿宋_GB2312" w:hAnsi="仿宋_GB2312" w:eastAsia="仿宋_GB2312" w:cs="仿宋_GB2312"/>
          <w:color w:val="auto"/>
          <w:kern w:val="2"/>
          <w:sz w:val="32"/>
          <w:szCs w:val="32"/>
          <w:lang w:bidi="ar-SA"/>
        </w:rPr>
        <w:t>项目</w:t>
      </w:r>
      <w:r>
        <w:rPr>
          <w:rFonts w:hint="eastAsia" w:ascii="仿宋_GB2312" w:hAnsi="仿宋_GB2312" w:eastAsia="仿宋_GB2312" w:cs="仿宋_GB2312"/>
          <w:color w:val="auto"/>
          <w:kern w:val="2"/>
          <w:sz w:val="32"/>
          <w:szCs w:val="32"/>
          <w:lang w:val="en-US" w:eastAsia="zh-CN" w:bidi="ar-SA"/>
        </w:rPr>
        <w:t>实施，</w:t>
      </w:r>
      <w:r>
        <w:rPr>
          <w:rFonts w:hint="eastAsia" w:ascii="仿宋_GB2312" w:hAnsi="仿宋_GB2312" w:eastAsia="仿宋_GB2312" w:cs="仿宋_GB2312"/>
          <w:color w:val="auto"/>
          <w:kern w:val="2"/>
          <w:sz w:val="32"/>
          <w:szCs w:val="32"/>
          <w:lang w:eastAsia="zh-CN" w:bidi="ar-SA"/>
        </w:rPr>
        <w:t>充分考虑了对自然生态环境的影响，采取有效措施减少了对生态环境的负作用</w:t>
      </w:r>
      <w:r>
        <w:rPr>
          <w:rFonts w:ascii="仿宋_GB2312" w:hAnsi="仿宋_GB2312" w:eastAsia="仿宋_GB2312" w:cs="仿宋_GB2312"/>
          <w:color w:val="auto"/>
          <w:kern w:val="2"/>
          <w:sz w:val="32"/>
          <w:szCs w:val="32"/>
          <w:lang w:bidi="ar-SA"/>
        </w:rPr>
        <w:t>。</w:t>
      </w:r>
    </w:p>
    <w:p w14:paraId="30D453F7">
      <w:pPr>
        <w:widowControl w:val="0"/>
        <w:spacing w:line="560" w:lineRule="exact"/>
        <w:ind w:firstLine="646" w:firstLineChars="200"/>
        <w:jc w:val="both"/>
        <w:rPr>
          <w:rFonts w:hint="default"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000000"/>
          <w:kern w:val="2"/>
          <w:sz w:val="32"/>
          <w:szCs w:val="32"/>
          <w:lang w:bidi="ar-SA"/>
        </w:rPr>
        <w:t>评价组认为，项目在整体成本控制方面表现良好，同时未对社会发展和自然生态环境造成任何负面影响。</w:t>
      </w:r>
      <w:r>
        <w:rPr>
          <w:rFonts w:hint="eastAsia" w:ascii="仿宋_GB2312" w:hAnsi="仿宋_GB2312" w:eastAsia="仿宋_GB2312" w:cs="仿宋_GB2312"/>
          <w:color w:val="000000"/>
          <w:kern w:val="2"/>
          <w:sz w:val="32"/>
          <w:szCs w:val="32"/>
          <w:lang w:val="en-US" w:eastAsia="zh-CN" w:bidi="ar-SA"/>
        </w:rPr>
        <w:t>但经济成本控制欠佳。</w:t>
      </w:r>
    </w:p>
    <w:p w14:paraId="658B1E1B">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（四）项目产出情况</w:t>
      </w:r>
    </w:p>
    <w:p w14:paraId="6CB9A950">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 w:hAnsi="仿宋" w:eastAsia="仿宋" w:cs="仿宋"/>
          <w:b/>
          <w:bCs/>
          <w:kern w:val="2"/>
          <w:sz w:val="28"/>
          <w:szCs w:val="28"/>
          <w:highlight w:val="none"/>
          <w:lang w:val="en-US" w:eastAsia="zh-CN" w:bidi="ar-SA"/>
        </w:rPr>
      </w:pPr>
      <w:r>
        <w:rPr>
          <w:rFonts w:hint="eastAsia" w:ascii="仿宋_GB2312" w:hAnsi="仿宋_GB2312" w:eastAsia="仿宋_GB2312" w:cs="仿宋_GB2312"/>
          <w:color w:val="auto"/>
          <w:sz w:val="32"/>
          <w:szCs w:val="32"/>
          <w:highlight w:val="none"/>
          <w:lang w:val="en-US" w:eastAsia="zh-CN"/>
        </w:rPr>
        <w:t>项目产出从产出数量、产出质量、产出时效三个方面进行评价。项目产出满分25分，得分25分。具体得分详见表10。</w:t>
      </w:r>
    </w:p>
    <w:p w14:paraId="7DCD44A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66" w:firstLineChars="200"/>
        <w:jc w:val="center"/>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表10   项目产出绩效指标分析表</w:t>
      </w:r>
    </w:p>
    <w:tbl>
      <w:tblPr>
        <w:tblStyle w:val="15"/>
        <w:tblW w:w="8617"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041"/>
        <w:gridCol w:w="1428"/>
        <w:gridCol w:w="2766"/>
        <w:gridCol w:w="960"/>
        <w:gridCol w:w="1174"/>
      </w:tblGrid>
      <w:tr w14:paraId="3A7F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248" w:type="dxa"/>
            <w:tcBorders>
              <w:left w:val="nil"/>
              <w:tl2br w:val="nil"/>
              <w:tr2bl w:val="nil"/>
            </w:tcBorders>
            <w:shd w:val="clear" w:color="auto" w:fill="D7D7D7"/>
            <w:noWrap w:val="0"/>
            <w:vAlign w:val="center"/>
          </w:tcPr>
          <w:p w14:paraId="12DDCB5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一级指标</w:t>
            </w:r>
          </w:p>
        </w:tc>
        <w:tc>
          <w:tcPr>
            <w:tcW w:w="1041" w:type="dxa"/>
            <w:tcBorders>
              <w:tl2br w:val="nil"/>
              <w:tr2bl w:val="nil"/>
            </w:tcBorders>
            <w:shd w:val="clear" w:color="auto" w:fill="D7D7D7"/>
            <w:noWrap w:val="0"/>
            <w:vAlign w:val="center"/>
          </w:tcPr>
          <w:p w14:paraId="5916846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1428" w:type="dxa"/>
            <w:tcBorders>
              <w:tl2br w:val="nil"/>
              <w:tr2bl w:val="nil"/>
            </w:tcBorders>
            <w:shd w:val="clear" w:color="auto" w:fill="D7D7D7"/>
            <w:noWrap w:val="0"/>
            <w:vAlign w:val="center"/>
          </w:tcPr>
          <w:p w14:paraId="7ABDA01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二级指标</w:t>
            </w:r>
          </w:p>
        </w:tc>
        <w:tc>
          <w:tcPr>
            <w:tcW w:w="2766" w:type="dxa"/>
            <w:tcBorders>
              <w:tl2br w:val="nil"/>
              <w:tr2bl w:val="nil"/>
            </w:tcBorders>
            <w:shd w:val="clear" w:color="auto" w:fill="D7D7D7"/>
            <w:noWrap w:val="0"/>
            <w:vAlign w:val="center"/>
          </w:tcPr>
          <w:p w14:paraId="63635B4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三级指标</w:t>
            </w:r>
          </w:p>
        </w:tc>
        <w:tc>
          <w:tcPr>
            <w:tcW w:w="960" w:type="dxa"/>
            <w:tcBorders>
              <w:tl2br w:val="nil"/>
              <w:tr2bl w:val="nil"/>
            </w:tcBorders>
            <w:shd w:val="clear" w:color="auto" w:fill="D7D7D7"/>
            <w:noWrap w:val="0"/>
            <w:vAlign w:val="center"/>
          </w:tcPr>
          <w:p w14:paraId="31A7914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w:t>
            </w:r>
          </w:p>
        </w:tc>
        <w:tc>
          <w:tcPr>
            <w:tcW w:w="1174" w:type="dxa"/>
            <w:tcBorders>
              <w:right w:val="nil"/>
              <w:tl2br w:val="nil"/>
              <w:tr2bl w:val="nil"/>
            </w:tcBorders>
            <w:shd w:val="clear" w:color="auto" w:fill="D7D7D7"/>
            <w:noWrap w:val="0"/>
            <w:vAlign w:val="center"/>
          </w:tcPr>
          <w:p w14:paraId="2C3A2BA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得分</w:t>
            </w:r>
          </w:p>
        </w:tc>
      </w:tr>
      <w:tr w14:paraId="5BF2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48" w:type="dxa"/>
            <w:vMerge w:val="restart"/>
            <w:tcBorders>
              <w:left w:val="nil"/>
              <w:tl2br w:val="nil"/>
              <w:tr2bl w:val="nil"/>
            </w:tcBorders>
            <w:noWrap w:val="0"/>
            <w:vAlign w:val="center"/>
          </w:tcPr>
          <w:p w14:paraId="0251CF1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产出</w:t>
            </w:r>
          </w:p>
        </w:tc>
        <w:tc>
          <w:tcPr>
            <w:tcW w:w="1041" w:type="dxa"/>
            <w:vMerge w:val="restart"/>
            <w:tcBorders>
              <w:tl2br w:val="nil"/>
              <w:tr2bl w:val="nil"/>
            </w:tcBorders>
            <w:noWrap w:val="0"/>
            <w:vAlign w:val="center"/>
          </w:tcPr>
          <w:p w14:paraId="0DA64E0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25</w:t>
            </w:r>
          </w:p>
        </w:tc>
        <w:tc>
          <w:tcPr>
            <w:tcW w:w="1428" w:type="dxa"/>
            <w:tcBorders>
              <w:tl2br w:val="nil"/>
              <w:tr2bl w:val="nil"/>
            </w:tcBorders>
            <w:noWrap w:val="0"/>
            <w:vAlign w:val="center"/>
          </w:tcPr>
          <w:p w14:paraId="542859F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产出数量</w:t>
            </w:r>
          </w:p>
        </w:tc>
        <w:tc>
          <w:tcPr>
            <w:tcW w:w="2766" w:type="dxa"/>
            <w:tcBorders>
              <w:tl2br w:val="nil"/>
              <w:tr2bl w:val="nil"/>
            </w:tcBorders>
            <w:noWrap w:val="0"/>
            <w:vAlign w:val="center"/>
          </w:tcPr>
          <w:p w14:paraId="2A934622">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项目数量目标完成情况</w:t>
            </w:r>
          </w:p>
        </w:tc>
        <w:tc>
          <w:tcPr>
            <w:tcW w:w="960" w:type="dxa"/>
            <w:tcBorders>
              <w:tl2br w:val="nil"/>
              <w:tr2bl w:val="nil"/>
            </w:tcBorders>
            <w:noWrap w:val="0"/>
            <w:vAlign w:val="center"/>
          </w:tcPr>
          <w:p w14:paraId="3606BA3B">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w:t>
            </w:r>
          </w:p>
        </w:tc>
        <w:tc>
          <w:tcPr>
            <w:tcW w:w="1174" w:type="dxa"/>
            <w:tcBorders>
              <w:right w:val="nil"/>
              <w:tl2br w:val="nil"/>
              <w:tr2bl w:val="nil"/>
            </w:tcBorders>
            <w:noWrap w:val="0"/>
            <w:vAlign w:val="center"/>
          </w:tcPr>
          <w:p w14:paraId="04D1019D">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w:t>
            </w:r>
          </w:p>
        </w:tc>
      </w:tr>
      <w:tr w14:paraId="17BF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48" w:type="dxa"/>
            <w:vMerge w:val="continue"/>
            <w:tcBorders>
              <w:left w:val="nil"/>
              <w:tl2br w:val="nil"/>
              <w:tr2bl w:val="nil"/>
            </w:tcBorders>
            <w:noWrap w:val="0"/>
            <w:vAlign w:val="center"/>
          </w:tcPr>
          <w:p w14:paraId="069646B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1041" w:type="dxa"/>
            <w:vMerge w:val="continue"/>
            <w:tcBorders>
              <w:tl2br w:val="nil"/>
              <w:tr2bl w:val="nil"/>
            </w:tcBorders>
            <w:noWrap w:val="0"/>
            <w:vAlign w:val="center"/>
          </w:tcPr>
          <w:p w14:paraId="1902168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1428" w:type="dxa"/>
            <w:tcBorders>
              <w:tl2br w:val="nil"/>
              <w:tr2bl w:val="nil"/>
            </w:tcBorders>
            <w:noWrap w:val="0"/>
            <w:vAlign w:val="center"/>
          </w:tcPr>
          <w:p w14:paraId="5B38DCB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产出质量</w:t>
            </w:r>
          </w:p>
        </w:tc>
        <w:tc>
          <w:tcPr>
            <w:tcW w:w="2766" w:type="dxa"/>
            <w:tcBorders>
              <w:tl2br w:val="nil"/>
              <w:tr2bl w:val="nil"/>
            </w:tcBorders>
            <w:noWrap w:val="0"/>
            <w:vAlign w:val="center"/>
          </w:tcPr>
          <w:p w14:paraId="652153EB">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项目质量目标完成情况</w:t>
            </w:r>
          </w:p>
        </w:tc>
        <w:tc>
          <w:tcPr>
            <w:tcW w:w="960" w:type="dxa"/>
            <w:tcBorders>
              <w:tl2br w:val="nil"/>
              <w:tr2bl w:val="nil"/>
            </w:tcBorders>
            <w:noWrap w:val="0"/>
            <w:vAlign w:val="center"/>
          </w:tcPr>
          <w:p w14:paraId="5C44AFF4">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w:t>
            </w:r>
          </w:p>
        </w:tc>
        <w:tc>
          <w:tcPr>
            <w:tcW w:w="1174" w:type="dxa"/>
            <w:tcBorders>
              <w:right w:val="nil"/>
              <w:tl2br w:val="nil"/>
              <w:tr2bl w:val="nil"/>
            </w:tcBorders>
            <w:noWrap w:val="0"/>
            <w:vAlign w:val="center"/>
          </w:tcPr>
          <w:p w14:paraId="39C6CFF2">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w:t>
            </w:r>
          </w:p>
        </w:tc>
      </w:tr>
      <w:tr w14:paraId="569F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48" w:type="dxa"/>
            <w:vMerge w:val="continue"/>
            <w:tcBorders>
              <w:left w:val="nil"/>
              <w:tl2br w:val="nil"/>
              <w:tr2bl w:val="nil"/>
            </w:tcBorders>
            <w:noWrap w:val="0"/>
            <w:vAlign w:val="center"/>
          </w:tcPr>
          <w:p w14:paraId="6D91F3C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1041" w:type="dxa"/>
            <w:vMerge w:val="continue"/>
            <w:tcBorders>
              <w:tl2br w:val="nil"/>
              <w:tr2bl w:val="nil"/>
            </w:tcBorders>
            <w:noWrap w:val="0"/>
            <w:vAlign w:val="center"/>
          </w:tcPr>
          <w:p w14:paraId="5C7A583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1428" w:type="dxa"/>
            <w:tcBorders>
              <w:tl2br w:val="nil"/>
              <w:tr2bl w:val="nil"/>
            </w:tcBorders>
            <w:noWrap w:val="0"/>
            <w:vAlign w:val="center"/>
          </w:tcPr>
          <w:p w14:paraId="6702727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产出时效</w:t>
            </w:r>
          </w:p>
        </w:tc>
        <w:tc>
          <w:tcPr>
            <w:tcW w:w="2766" w:type="dxa"/>
            <w:tcBorders>
              <w:tl2br w:val="nil"/>
              <w:tr2bl w:val="nil"/>
            </w:tcBorders>
            <w:noWrap w:val="0"/>
            <w:vAlign w:val="center"/>
          </w:tcPr>
          <w:p w14:paraId="4A5A2A21">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项目按期完成情况</w:t>
            </w:r>
          </w:p>
        </w:tc>
        <w:tc>
          <w:tcPr>
            <w:tcW w:w="960" w:type="dxa"/>
            <w:tcBorders>
              <w:tl2br w:val="nil"/>
              <w:tr2bl w:val="nil"/>
            </w:tcBorders>
            <w:noWrap w:val="0"/>
            <w:vAlign w:val="center"/>
          </w:tcPr>
          <w:p w14:paraId="7055E60C">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w:t>
            </w:r>
          </w:p>
        </w:tc>
        <w:tc>
          <w:tcPr>
            <w:tcW w:w="1174" w:type="dxa"/>
            <w:tcBorders>
              <w:right w:val="nil"/>
              <w:tl2br w:val="nil"/>
              <w:tr2bl w:val="nil"/>
            </w:tcBorders>
            <w:noWrap w:val="0"/>
            <w:vAlign w:val="center"/>
          </w:tcPr>
          <w:p w14:paraId="602EC402">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w:t>
            </w:r>
          </w:p>
        </w:tc>
      </w:tr>
      <w:tr w14:paraId="3E60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 w:hRule="atLeast"/>
        </w:trPr>
        <w:tc>
          <w:tcPr>
            <w:tcW w:w="1248" w:type="dxa"/>
            <w:tcBorders>
              <w:left w:val="nil"/>
              <w:tl2br w:val="nil"/>
              <w:tr2bl w:val="nil"/>
            </w:tcBorders>
            <w:noWrap w:val="0"/>
            <w:vAlign w:val="center"/>
          </w:tcPr>
          <w:p w14:paraId="6E4C02DA">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合计</w:t>
            </w:r>
          </w:p>
        </w:tc>
        <w:tc>
          <w:tcPr>
            <w:tcW w:w="1041" w:type="dxa"/>
            <w:tcBorders>
              <w:tl2br w:val="nil"/>
              <w:tr2bl w:val="nil"/>
            </w:tcBorders>
            <w:noWrap w:val="0"/>
            <w:vAlign w:val="center"/>
          </w:tcPr>
          <w:p w14:paraId="743E1F0E">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25</w:t>
            </w:r>
          </w:p>
        </w:tc>
        <w:tc>
          <w:tcPr>
            <w:tcW w:w="1428" w:type="dxa"/>
            <w:tcBorders>
              <w:tl2br w:val="nil"/>
              <w:tr2bl w:val="nil"/>
            </w:tcBorders>
            <w:noWrap w:val="0"/>
            <w:vAlign w:val="center"/>
          </w:tcPr>
          <w:p w14:paraId="7780C732">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p>
        </w:tc>
        <w:tc>
          <w:tcPr>
            <w:tcW w:w="2766" w:type="dxa"/>
            <w:tcBorders>
              <w:tl2br w:val="nil"/>
              <w:tr2bl w:val="nil"/>
            </w:tcBorders>
            <w:noWrap w:val="0"/>
            <w:vAlign w:val="center"/>
          </w:tcPr>
          <w:p w14:paraId="662D305D">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p>
        </w:tc>
        <w:tc>
          <w:tcPr>
            <w:tcW w:w="960" w:type="dxa"/>
            <w:tcBorders>
              <w:tl2br w:val="nil"/>
              <w:tr2bl w:val="nil"/>
            </w:tcBorders>
            <w:noWrap w:val="0"/>
            <w:vAlign w:val="center"/>
          </w:tcPr>
          <w:p w14:paraId="5D02C089">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25</w:t>
            </w:r>
          </w:p>
        </w:tc>
        <w:tc>
          <w:tcPr>
            <w:tcW w:w="1174" w:type="dxa"/>
            <w:tcBorders>
              <w:right w:val="nil"/>
              <w:tl2br w:val="nil"/>
              <w:tr2bl w:val="nil"/>
            </w:tcBorders>
            <w:noWrap w:val="0"/>
            <w:vAlign w:val="center"/>
          </w:tcPr>
          <w:p w14:paraId="02ED0E6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25</w:t>
            </w:r>
          </w:p>
        </w:tc>
      </w:tr>
    </w:tbl>
    <w:p w14:paraId="03611D6C">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highlight w:val="none"/>
          <w:lang w:val="en-US" w:eastAsia="zh-CN"/>
        </w:rPr>
        <w:t>1.产出数量方面。</w:t>
      </w:r>
      <w:r>
        <w:rPr>
          <w:rFonts w:ascii="仿宋_GB2312" w:hAnsi="仿宋_GB2312" w:eastAsia="仿宋_GB2312" w:cs="仿宋_GB2312"/>
          <w:color w:val="auto"/>
          <w:kern w:val="2"/>
          <w:sz w:val="32"/>
          <w:szCs w:val="32"/>
          <w:lang w:bidi="ar-SA"/>
        </w:rPr>
        <w:t>根据项目单位提供的相关资料，2024年杏林镇人民政府委托的第三方公司——西安弘德途环保科技有限公司，对污水处理厂进行了专业化的运行维护，并</w:t>
      </w:r>
      <w:r>
        <w:rPr>
          <w:rFonts w:hint="eastAsia" w:ascii="仿宋_GB2312" w:hAnsi="仿宋_GB2312" w:eastAsia="仿宋_GB2312" w:cs="仿宋_GB2312"/>
          <w:color w:val="auto"/>
          <w:kern w:val="2"/>
          <w:sz w:val="32"/>
          <w:szCs w:val="32"/>
          <w:lang w:val="en-US" w:eastAsia="zh-CN" w:bidi="ar-SA"/>
        </w:rPr>
        <w:t>基本</w:t>
      </w:r>
      <w:r>
        <w:rPr>
          <w:rFonts w:ascii="仿宋_GB2312" w:hAnsi="仿宋_GB2312" w:eastAsia="仿宋_GB2312" w:cs="仿宋_GB2312"/>
          <w:color w:val="auto"/>
          <w:kern w:val="2"/>
          <w:sz w:val="32"/>
          <w:szCs w:val="32"/>
          <w:lang w:bidi="ar-SA"/>
        </w:rPr>
        <w:t>实现了预期的绩效目标。</w:t>
      </w:r>
    </w:p>
    <w:p w14:paraId="445CCD3C">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highlight w:val="none"/>
          <w:lang w:val="en-US" w:eastAsia="zh-CN"/>
        </w:rPr>
        <w:t>2.产出质量方面。</w:t>
      </w:r>
      <w:r>
        <w:rPr>
          <w:rFonts w:ascii="仿宋_GB2312" w:hAnsi="仿宋_GB2312" w:eastAsia="仿宋_GB2312" w:cs="仿宋_GB2312"/>
          <w:color w:val="auto"/>
          <w:kern w:val="2"/>
          <w:sz w:val="32"/>
          <w:szCs w:val="32"/>
          <w:lang w:bidi="ar-SA"/>
        </w:rPr>
        <w:t>根据项目单位提供的相关资料，</w:t>
      </w:r>
      <w:r>
        <w:rPr>
          <w:rFonts w:hint="eastAsia" w:ascii="仿宋_GB2312" w:hAnsi="仿宋_GB2312" w:eastAsia="仿宋_GB2312" w:cs="仿宋_GB2312"/>
          <w:color w:val="auto"/>
          <w:kern w:val="2"/>
          <w:sz w:val="32"/>
          <w:szCs w:val="32"/>
          <w:lang w:val="en-US" w:eastAsia="zh-CN" w:bidi="ar-SA"/>
        </w:rPr>
        <w:t>污水处理厂能正常、稳定运行，出水水质基本达到了设计标准和相关环保要求，且设备运行稳定，未发生重大故障或事故。</w:t>
      </w:r>
    </w:p>
    <w:p w14:paraId="3EBC51E6">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highlight w:val="none"/>
          <w:lang w:val="en-US" w:eastAsia="zh-CN"/>
        </w:rPr>
        <w:t>3.产出时效方面。</w:t>
      </w:r>
      <w:r>
        <w:rPr>
          <w:rFonts w:hint="eastAsia" w:ascii="仿宋_GB2312" w:hAnsi="仿宋_GB2312" w:eastAsia="仿宋_GB2312" w:cs="仿宋_GB2312"/>
          <w:color w:val="auto"/>
          <w:kern w:val="2"/>
          <w:sz w:val="32"/>
          <w:szCs w:val="32"/>
          <w:lang w:val="en-US" w:eastAsia="zh-CN" w:bidi="ar-SA"/>
        </w:rPr>
        <w:t>污水处理厂的运行补助资金能按合同约定的付款进度及时拨付，项目资金拨付时效性强</w:t>
      </w:r>
      <w:r>
        <w:rPr>
          <w:rFonts w:ascii="仿宋_GB2312" w:hAnsi="仿宋_GB2312" w:eastAsia="仿宋_GB2312" w:cs="仿宋_GB2312"/>
          <w:color w:val="auto"/>
          <w:kern w:val="2"/>
          <w:sz w:val="32"/>
          <w:szCs w:val="32"/>
          <w:lang w:bidi="ar-SA"/>
        </w:rPr>
        <w:t>。</w:t>
      </w:r>
    </w:p>
    <w:p w14:paraId="40179728">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评价组认为，从项目产出方面看，项目产出数量、质量目标任务完成较好。但产出时效指标完成欠佳。</w:t>
      </w:r>
    </w:p>
    <w:p w14:paraId="2CE8AC88">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（五）项目效益情况</w:t>
      </w:r>
    </w:p>
    <w:p w14:paraId="5669E960">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color w:val="auto"/>
          <w:sz w:val="32"/>
          <w:szCs w:val="32"/>
          <w:highlight w:val="none"/>
          <w:lang w:val="en-US" w:eastAsia="zh-CN"/>
        </w:rPr>
        <w:t>从经济效益、社会效益、生态效益、可持续影响、受表彰情况、满意度六个方面进行评价。项目效益满分为34分，得分为28.13分。具体得分详见表11。</w:t>
      </w:r>
    </w:p>
    <w:p w14:paraId="3075C5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center"/>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表11   项目效益绩效指标分析表</w:t>
      </w:r>
    </w:p>
    <w:tbl>
      <w:tblPr>
        <w:tblStyle w:val="15"/>
        <w:tblpPr w:leftFromText="181" w:rightFromText="181" w:vertAnchor="text" w:horzAnchor="page" w:tblpX="1946" w:tblpY="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7"/>
        <w:gridCol w:w="731"/>
        <w:gridCol w:w="1451"/>
        <w:gridCol w:w="3393"/>
        <w:gridCol w:w="785"/>
        <w:gridCol w:w="850"/>
      </w:tblGrid>
      <w:tr w14:paraId="19BE2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exact"/>
        </w:trPr>
        <w:tc>
          <w:tcPr>
            <w:tcW w:w="1227" w:type="dxa"/>
            <w:tcBorders>
              <w:top w:val="single" w:color="000000" w:sz="4" w:space="0"/>
              <w:bottom w:val="single" w:color="000000" w:sz="4" w:space="0"/>
              <w:right w:val="single" w:color="000000" w:sz="4" w:space="0"/>
            </w:tcBorders>
            <w:shd w:val="clear" w:color="auto" w:fill="D7D7D7"/>
            <w:noWrap w:val="0"/>
            <w:vAlign w:val="center"/>
          </w:tcPr>
          <w:p w14:paraId="54784C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一级指标</w:t>
            </w:r>
          </w:p>
        </w:tc>
        <w:tc>
          <w:tcPr>
            <w:tcW w:w="731"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59CE99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分值</w:t>
            </w:r>
          </w:p>
        </w:tc>
        <w:tc>
          <w:tcPr>
            <w:tcW w:w="1451"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792F3D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二级指标</w:t>
            </w:r>
          </w:p>
        </w:tc>
        <w:tc>
          <w:tcPr>
            <w:tcW w:w="3393"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158779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三级指标</w:t>
            </w:r>
          </w:p>
        </w:tc>
        <w:tc>
          <w:tcPr>
            <w:tcW w:w="785" w:type="dxa"/>
            <w:tcBorders>
              <w:top w:val="single" w:color="000000" w:sz="4" w:space="0"/>
              <w:left w:val="single" w:color="000000" w:sz="4" w:space="0"/>
              <w:bottom w:val="single" w:color="000000" w:sz="4" w:space="0"/>
              <w:right w:val="single" w:color="auto" w:sz="4" w:space="0"/>
            </w:tcBorders>
            <w:shd w:val="clear" w:color="auto" w:fill="D7D7D7"/>
            <w:noWrap w:val="0"/>
            <w:vAlign w:val="center"/>
          </w:tcPr>
          <w:p w14:paraId="2DAEFF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分值</w:t>
            </w:r>
          </w:p>
        </w:tc>
        <w:tc>
          <w:tcPr>
            <w:tcW w:w="850" w:type="dxa"/>
            <w:tcBorders>
              <w:top w:val="single" w:color="000000" w:sz="4" w:space="0"/>
              <w:left w:val="single" w:color="000000" w:sz="4" w:space="0"/>
              <w:bottom w:val="single" w:color="000000" w:sz="4" w:space="0"/>
              <w:right w:val="nil"/>
            </w:tcBorders>
            <w:shd w:val="clear" w:color="auto" w:fill="D7D7D7"/>
            <w:noWrap w:val="0"/>
            <w:vAlign w:val="center"/>
          </w:tcPr>
          <w:p w14:paraId="379FF1A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bCs/>
                <w:color w:val="auto"/>
                <w:sz w:val="24"/>
                <w:szCs w:val="24"/>
                <w:highlight w:val="none"/>
                <w:lang w:val="en-US" w:eastAsia="zh-CN"/>
              </w:rPr>
              <w:t>得分</w:t>
            </w:r>
          </w:p>
        </w:tc>
      </w:tr>
      <w:tr w14:paraId="5FD5F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27" w:type="dxa"/>
            <w:vMerge w:val="restart"/>
            <w:tcBorders>
              <w:top w:val="single" w:color="000000" w:sz="4" w:space="0"/>
              <w:bottom w:val="single" w:color="000000" w:sz="4" w:space="0"/>
              <w:right w:val="single" w:color="000000" w:sz="4" w:space="0"/>
            </w:tcBorders>
            <w:noWrap w:val="0"/>
            <w:vAlign w:val="center"/>
          </w:tcPr>
          <w:p w14:paraId="40C0AB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 xml:space="preserve">效益     </w:t>
            </w:r>
          </w:p>
        </w:tc>
        <w:tc>
          <w:tcPr>
            <w:tcW w:w="731" w:type="dxa"/>
            <w:vMerge w:val="restart"/>
            <w:tcBorders>
              <w:top w:val="single" w:color="000000" w:sz="4" w:space="0"/>
              <w:left w:val="single" w:color="000000" w:sz="4" w:space="0"/>
              <w:bottom w:val="single" w:color="000000" w:sz="4" w:space="0"/>
              <w:right w:val="single" w:color="000000" w:sz="4" w:space="0"/>
            </w:tcBorders>
            <w:noWrap w:val="0"/>
            <w:vAlign w:val="center"/>
          </w:tcPr>
          <w:p w14:paraId="5043C4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b w:val="0"/>
                <w:bCs w:val="0"/>
                <w:i w:val="0"/>
                <w:iCs w:val="0"/>
                <w:color w:val="auto"/>
                <w:sz w:val="24"/>
                <w:szCs w:val="24"/>
                <w:highlight w:val="none"/>
                <w:u w:val="none"/>
                <w:lang w:val="en-US"/>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34</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7C96A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经济效益</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4B94B3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促进区域经济发展情况</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0B14EB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w:t>
            </w:r>
          </w:p>
        </w:tc>
        <w:tc>
          <w:tcPr>
            <w:tcW w:w="850" w:type="dxa"/>
            <w:tcBorders>
              <w:top w:val="single" w:color="000000" w:sz="4" w:space="0"/>
              <w:left w:val="single" w:color="000000" w:sz="4" w:space="0"/>
              <w:bottom w:val="single" w:color="000000" w:sz="4" w:space="0"/>
              <w:right w:val="nil"/>
            </w:tcBorders>
            <w:noWrap w:val="0"/>
            <w:vAlign w:val="center"/>
          </w:tcPr>
          <w:p w14:paraId="7372347C">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3.6</w:t>
            </w:r>
          </w:p>
        </w:tc>
      </w:tr>
      <w:tr w14:paraId="39EE5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227" w:type="dxa"/>
            <w:vMerge w:val="continue"/>
            <w:tcBorders>
              <w:top w:val="single" w:color="000000" w:sz="4" w:space="0"/>
              <w:bottom w:val="single" w:color="000000" w:sz="4" w:space="0"/>
              <w:right w:val="single" w:color="000000" w:sz="4" w:space="0"/>
            </w:tcBorders>
            <w:noWrap w:val="0"/>
            <w:vAlign w:val="center"/>
          </w:tcPr>
          <w:p w14:paraId="767411B4">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FA857">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1451" w:type="dxa"/>
            <w:vMerge w:val="restart"/>
            <w:tcBorders>
              <w:top w:val="single" w:color="000000" w:sz="4" w:space="0"/>
              <w:left w:val="single" w:color="000000" w:sz="4" w:space="0"/>
              <w:bottom w:val="single" w:color="000000" w:sz="4" w:space="0"/>
              <w:right w:val="single" w:color="000000" w:sz="4" w:space="0"/>
            </w:tcBorders>
            <w:noWrap w:val="0"/>
            <w:vAlign w:val="center"/>
          </w:tcPr>
          <w:p w14:paraId="49C7A5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社会效益</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541741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区域污水得到有效治理情况</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400AE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w:t>
            </w:r>
          </w:p>
        </w:tc>
        <w:tc>
          <w:tcPr>
            <w:tcW w:w="850" w:type="dxa"/>
            <w:tcBorders>
              <w:top w:val="single" w:color="000000" w:sz="4" w:space="0"/>
              <w:left w:val="single" w:color="000000" w:sz="4" w:space="0"/>
              <w:bottom w:val="single" w:color="000000" w:sz="4" w:space="0"/>
              <w:right w:val="nil"/>
            </w:tcBorders>
            <w:noWrap/>
            <w:vAlign w:val="center"/>
          </w:tcPr>
          <w:p w14:paraId="73E7AE48">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3.6</w:t>
            </w:r>
          </w:p>
        </w:tc>
      </w:tr>
      <w:tr w14:paraId="64BC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227" w:type="dxa"/>
            <w:vMerge w:val="continue"/>
            <w:tcBorders>
              <w:top w:val="single" w:color="000000" w:sz="4" w:space="0"/>
              <w:bottom w:val="single" w:color="000000" w:sz="4" w:space="0"/>
              <w:right w:val="single" w:color="000000" w:sz="4" w:space="0"/>
            </w:tcBorders>
            <w:noWrap w:val="0"/>
            <w:vAlign w:val="center"/>
          </w:tcPr>
          <w:p w14:paraId="52DFE3F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9A4FA">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14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978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486855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改善了周边居民的生活环境</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709E4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w:t>
            </w:r>
          </w:p>
        </w:tc>
        <w:tc>
          <w:tcPr>
            <w:tcW w:w="850" w:type="dxa"/>
            <w:tcBorders>
              <w:top w:val="single" w:color="000000" w:sz="4" w:space="0"/>
              <w:left w:val="single" w:color="000000" w:sz="4" w:space="0"/>
              <w:bottom w:val="single" w:color="000000" w:sz="4" w:space="0"/>
              <w:right w:val="nil"/>
            </w:tcBorders>
            <w:noWrap/>
            <w:vAlign w:val="center"/>
          </w:tcPr>
          <w:p w14:paraId="080CAED4">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3.6</w:t>
            </w:r>
          </w:p>
        </w:tc>
      </w:tr>
      <w:tr w14:paraId="458B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227" w:type="dxa"/>
            <w:vMerge w:val="continue"/>
            <w:tcBorders>
              <w:top w:val="single" w:color="000000" w:sz="4" w:space="0"/>
              <w:bottom w:val="single" w:color="000000" w:sz="4" w:space="0"/>
              <w:right w:val="single" w:color="000000" w:sz="4" w:space="0"/>
            </w:tcBorders>
            <w:noWrap w:val="0"/>
            <w:vAlign w:val="center"/>
          </w:tcPr>
          <w:p w14:paraId="2D99F320">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6FA67">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CB251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生态效益</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D24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持续改善自然生态环境</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A8BD6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w:t>
            </w:r>
          </w:p>
        </w:tc>
        <w:tc>
          <w:tcPr>
            <w:tcW w:w="850" w:type="dxa"/>
            <w:tcBorders>
              <w:top w:val="single" w:color="000000" w:sz="4" w:space="0"/>
              <w:left w:val="single" w:color="000000" w:sz="4" w:space="0"/>
              <w:bottom w:val="single" w:color="000000" w:sz="4" w:space="0"/>
              <w:right w:val="nil"/>
            </w:tcBorders>
            <w:noWrap/>
            <w:vAlign w:val="center"/>
          </w:tcPr>
          <w:p w14:paraId="64B9ECD5">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4.5</w:t>
            </w:r>
          </w:p>
        </w:tc>
      </w:tr>
      <w:tr w14:paraId="6993C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27" w:type="dxa"/>
            <w:vMerge w:val="continue"/>
            <w:tcBorders>
              <w:top w:val="single" w:color="000000" w:sz="4" w:space="0"/>
              <w:bottom w:val="single" w:color="000000" w:sz="4" w:space="0"/>
              <w:right w:val="single" w:color="000000" w:sz="4" w:space="0"/>
            </w:tcBorders>
            <w:noWrap w:val="0"/>
            <w:vAlign w:val="center"/>
          </w:tcPr>
          <w:p w14:paraId="348EA5DB">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269CC">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64AA6A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可持续影响</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CA0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后期管护及长效运营保障机制建设情况</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5A184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w:t>
            </w:r>
          </w:p>
        </w:tc>
        <w:tc>
          <w:tcPr>
            <w:tcW w:w="850" w:type="dxa"/>
            <w:tcBorders>
              <w:top w:val="single" w:color="000000" w:sz="4" w:space="0"/>
              <w:left w:val="single" w:color="000000" w:sz="4" w:space="0"/>
              <w:bottom w:val="single" w:color="000000" w:sz="4" w:space="0"/>
              <w:right w:val="nil"/>
            </w:tcBorders>
            <w:noWrap/>
            <w:vAlign w:val="center"/>
          </w:tcPr>
          <w:p w14:paraId="77D448C1">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3.6</w:t>
            </w:r>
          </w:p>
        </w:tc>
      </w:tr>
      <w:tr w14:paraId="7B167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227" w:type="dxa"/>
            <w:vMerge w:val="continue"/>
            <w:tcBorders>
              <w:top w:val="single" w:color="000000" w:sz="4" w:space="0"/>
              <w:bottom w:val="single" w:color="000000" w:sz="4" w:space="0"/>
              <w:right w:val="single" w:color="000000" w:sz="4" w:space="0"/>
            </w:tcBorders>
            <w:noWrap w:val="0"/>
            <w:vAlign w:val="center"/>
          </w:tcPr>
          <w:p w14:paraId="4575DA99">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1DCABB">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205E0EE">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lang w:val="en-US" w:eastAsia="zh-CN"/>
              </w:rPr>
            </w:pPr>
            <w:r>
              <w:rPr>
                <w:rFonts w:hint="eastAsia" w:ascii="仿宋_GB2312" w:hAnsi="仿宋_GB2312" w:eastAsia="仿宋_GB2312" w:cs="仿宋_GB2312"/>
                <w:b w:val="0"/>
                <w:bCs w:val="0"/>
                <w:i w:val="0"/>
                <w:iCs w:val="0"/>
                <w:color w:val="auto"/>
                <w:sz w:val="24"/>
                <w:szCs w:val="24"/>
                <w:highlight w:val="none"/>
                <w:u w:val="none"/>
                <w:lang w:val="en-US" w:eastAsia="zh-CN"/>
              </w:rPr>
              <w:t>受表彰情况</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4A24AF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是否受到上级表彰</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D7695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3</w:t>
            </w:r>
          </w:p>
        </w:tc>
        <w:tc>
          <w:tcPr>
            <w:tcW w:w="850" w:type="dxa"/>
            <w:tcBorders>
              <w:top w:val="single" w:color="000000" w:sz="4" w:space="0"/>
              <w:left w:val="single" w:color="000000" w:sz="4" w:space="0"/>
              <w:bottom w:val="single" w:color="000000" w:sz="4" w:space="0"/>
              <w:right w:val="nil"/>
            </w:tcBorders>
            <w:noWrap/>
            <w:vAlign w:val="center"/>
          </w:tcPr>
          <w:p w14:paraId="45B59BDB">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w:t>
            </w:r>
          </w:p>
        </w:tc>
      </w:tr>
      <w:tr w14:paraId="009B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1227" w:type="dxa"/>
            <w:vMerge w:val="continue"/>
            <w:tcBorders>
              <w:top w:val="single" w:color="000000" w:sz="4" w:space="0"/>
              <w:bottom w:val="single" w:color="000000" w:sz="4" w:space="0"/>
              <w:right w:val="single" w:color="000000" w:sz="4" w:space="0"/>
            </w:tcBorders>
            <w:noWrap w:val="0"/>
            <w:vAlign w:val="center"/>
          </w:tcPr>
          <w:p w14:paraId="73B2DDDA">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9F4FA">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86353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满意度</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1CE572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社会公众及服务对象认可度和满意度</w:t>
            </w:r>
          </w:p>
        </w:tc>
        <w:tc>
          <w:tcPr>
            <w:tcW w:w="785" w:type="dxa"/>
            <w:tcBorders>
              <w:top w:val="single" w:color="000000" w:sz="4" w:space="0"/>
              <w:left w:val="single" w:color="000000" w:sz="4" w:space="0"/>
              <w:bottom w:val="single" w:color="000000" w:sz="4" w:space="0"/>
              <w:right w:val="single" w:color="auto" w:sz="4" w:space="0"/>
            </w:tcBorders>
            <w:noWrap w:val="0"/>
            <w:vAlign w:val="center"/>
          </w:tcPr>
          <w:p w14:paraId="04C2E3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10</w:t>
            </w:r>
          </w:p>
        </w:tc>
        <w:tc>
          <w:tcPr>
            <w:tcW w:w="850" w:type="dxa"/>
            <w:tcBorders>
              <w:top w:val="single" w:color="000000" w:sz="4" w:space="0"/>
              <w:left w:val="single" w:color="000000" w:sz="4" w:space="0"/>
              <w:bottom w:val="single" w:color="000000" w:sz="4" w:space="0"/>
              <w:right w:val="nil"/>
            </w:tcBorders>
            <w:noWrap/>
            <w:vAlign w:val="center"/>
          </w:tcPr>
          <w:p w14:paraId="2FE488E7">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9.23</w:t>
            </w:r>
          </w:p>
        </w:tc>
      </w:tr>
      <w:tr w14:paraId="24DA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27" w:type="dxa"/>
            <w:tcBorders>
              <w:top w:val="single" w:color="000000" w:sz="4" w:space="0"/>
              <w:bottom w:val="single" w:color="000000" w:sz="4" w:space="0"/>
              <w:right w:val="single" w:color="000000" w:sz="4" w:space="0"/>
            </w:tcBorders>
            <w:noWrap w:val="0"/>
            <w:vAlign w:val="center"/>
          </w:tcPr>
          <w:p w14:paraId="0C989E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合计</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142C68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b/>
                <w:bCs/>
                <w:i w:val="0"/>
                <w:iCs w:val="0"/>
                <w:color w:val="auto"/>
                <w:sz w:val="24"/>
                <w:szCs w:val="24"/>
                <w:highlight w:val="none"/>
                <w:u w:val="none"/>
                <w:lang w:val="en-US" w:eastAsia="zh-CN"/>
              </w:rPr>
            </w:pPr>
            <w:r>
              <w:rPr>
                <w:rFonts w:hint="eastAsia" w:ascii="仿宋_GB2312" w:hAnsi="仿宋_GB2312" w:eastAsia="仿宋_GB2312" w:cs="仿宋_GB2312"/>
                <w:b/>
                <w:bCs/>
                <w:i w:val="0"/>
                <w:iCs w:val="0"/>
                <w:color w:val="auto"/>
                <w:sz w:val="24"/>
                <w:szCs w:val="24"/>
                <w:highlight w:val="none"/>
                <w:u w:val="none"/>
                <w:lang w:val="en-US" w:eastAsia="zh-CN"/>
              </w:rPr>
              <w:t>34</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5B0463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i w:val="0"/>
                <w:iCs w:val="0"/>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p>
        </w:tc>
        <w:tc>
          <w:tcPr>
            <w:tcW w:w="3393" w:type="dxa"/>
            <w:tcBorders>
              <w:top w:val="single" w:color="000000" w:sz="4" w:space="0"/>
              <w:left w:val="single" w:color="000000" w:sz="4" w:space="0"/>
              <w:bottom w:val="single" w:color="000000" w:sz="4" w:space="0"/>
              <w:right w:val="single" w:color="000000" w:sz="4" w:space="0"/>
            </w:tcBorders>
            <w:noWrap w:val="0"/>
            <w:vAlign w:val="center"/>
          </w:tcPr>
          <w:p w14:paraId="63BF82F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bCs/>
                <w:color w:val="auto"/>
                <w:sz w:val="24"/>
                <w:szCs w:val="24"/>
                <w:highlight w:val="none"/>
              </w:rPr>
              <w:t>—</w:t>
            </w:r>
          </w:p>
        </w:tc>
        <w:tc>
          <w:tcPr>
            <w:tcW w:w="785" w:type="dxa"/>
            <w:tcBorders>
              <w:top w:val="single" w:color="000000" w:sz="4" w:space="0"/>
              <w:left w:val="single" w:color="000000" w:sz="4" w:space="0"/>
              <w:bottom w:val="single" w:color="000000" w:sz="4" w:space="0"/>
              <w:right w:val="single" w:color="auto" w:sz="4" w:space="0"/>
            </w:tcBorders>
            <w:noWrap w:val="0"/>
            <w:vAlign w:val="center"/>
          </w:tcPr>
          <w:p w14:paraId="35D96F1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fldChar w:fldCharType="begin"/>
            </w:r>
            <w:r>
              <w:rPr>
                <w:rFonts w:hint="eastAsia" w:ascii="仿宋_GB2312" w:hAnsi="仿宋_GB2312" w:eastAsia="仿宋_GB2312" w:cs="仿宋_GB2312"/>
                <w:b/>
                <w:bCs/>
                <w:i w:val="0"/>
                <w:iCs w:val="0"/>
                <w:color w:val="000000"/>
                <w:kern w:val="0"/>
                <w:sz w:val="24"/>
                <w:szCs w:val="24"/>
                <w:highlight w:val="none"/>
                <w:u w:val="none"/>
                <w:lang w:val="en-US" w:eastAsia="zh-CN" w:bidi="ar"/>
              </w:rPr>
              <w:instrText xml:space="preserve"> = sum(E2:E9) \* MERGEFORMAT </w:instrText>
            </w:r>
            <w:r>
              <w:rPr>
                <w:rFonts w:hint="eastAsia" w:ascii="仿宋_GB2312" w:hAnsi="仿宋_GB2312" w:eastAsia="仿宋_GB2312" w:cs="仿宋_GB2312"/>
                <w:b/>
                <w:bCs/>
                <w:i w:val="0"/>
                <w:iCs w:val="0"/>
                <w:color w:val="000000"/>
                <w:kern w:val="0"/>
                <w:sz w:val="24"/>
                <w:szCs w:val="24"/>
                <w:highlight w:val="none"/>
                <w:u w:val="none"/>
                <w:lang w:val="en-US" w:eastAsia="zh-CN" w:bidi="ar"/>
              </w:rPr>
              <w:fldChar w:fldCharType="separate"/>
            </w:r>
            <w:r>
              <w:rPr>
                <w:rFonts w:hint="eastAsia" w:ascii="仿宋_GB2312" w:hAnsi="仿宋_GB2312" w:eastAsia="仿宋_GB2312" w:cs="仿宋_GB2312"/>
                <w:b/>
                <w:bCs/>
                <w:i w:val="0"/>
                <w:iCs w:val="0"/>
                <w:color w:val="000000"/>
                <w:kern w:val="0"/>
                <w:sz w:val="24"/>
                <w:szCs w:val="24"/>
                <w:highlight w:val="none"/>
                <w:u w:val="none"/>
                <w:lang w:val="en-US" w:eastAsia="zh-CN" w:bidi="ar"/>
              </w:rPr>
              <w:t>34</w:t>
            </w:r>
            <w:r>
              <w:rPr>
                <w:rFonts w:hint="eastAsia" w:ascii="仿宋_GB2312" w:hAnsi="仿宋_GB2312" w:eastAsia="仿宋_GB2312" w:cs="仿宋_GB2312"/>
                <w:b/>
                <w:bCs/>
                <w:i w:val="0"/>
                <w:iCs w:val="0"/>
                <w:color w:val="000000"/>
                <w:kern w:val="0"/>
                <w:sz w:val="24"/>
                <w:szCs w:val="24"/>
                <w:highlight w:val="none"/>
                <w:u w:val="none"/>
                <w:lang w:val="en-US" w:eastAsia="zh-CN" w:bidi="ar"/>
              </w:rPr>
              <w:fldChar w:fldCharType="end"/>
            </w:r>
          </w:p>
        </w:tc>
        <w:tc>
          <w:tcPr>
            <w:tcW w:w="850" w:type="dxa"/>
            <w:tcBorders>
              <w:top w:val="single" w:color="000000" w:sz="4" w:space="0"/>
              <w:left w:val="single" w:color="000000" w:sz="4" w:space="0"/>
              <w:bottom w:val="single" w:color="000000" w:sz="4" w:space="0"/>
              <w:right w:val="nil"/>
            </w:tcBorders>
            <w:noWrap w:val="0"/>
            <w:vAlign w:val="center"/>
          </w:tcPr>
          <w:p w14:paraId="1D70795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fldChar w:fldCharType="begin"/>
            </w:r>
            <w:r>
              <w:rPr>
                <w:rFonts w:hint="eastAsia" w:ascii="仿宋_GB2312" w:hAnsi="仿宋_GB2312" w:eastAsia="仿宋_GB2312" w:cs="仿宋_GB2312"/>
                <w:b/>
                <w:bCs/>
                <w:i w:val="0"/>
                <w:iCs w:val="0"/>
                <w:color w:val="000000"/>
                <w:kern w:val="0"/>
                <w:sz w:val="24"/>
                <w:szCs w:val="24"/>
                <w:highlight w:val="none"/>
                <w:u w:val="none"/>
                <w:lang w:val="en-US" w:eastAsia="zh-CN" w:bidi="ar"/>
              </w:rPr>
              <w:instrText xml:space="preserve"> = sum(F2:F8) \* MERGEFORMAT </w:instrText>
            </w:r>
            <w:r>
              <w:rPr>
                <w:rFonts w:hint="eastAsia" w:ascii="仿宋_GB2312" w:hAnsi="仿宋_GB2312" w:eastAsia="仿宋_GB2312" w:cs="仿宋_GB2312"/>
                <w:b/>
                <w:bCs/>
                <w:i w:val="0"/>
                <w:iCs w:val="0"/>
                <w:color w:val="000000"/>
                <w:kern w:val="0"/>
                <w:sz w:val="24"/>
                <w:szCs w:val="24"/>
                <w:highlight w:val="none"/>
                <w:u w:val="none"/>
                <w:lang w:val="en-US" w:eastAsia="zh-CN" w:bidi="ar"/>
              </w:rPr>
              <w:fldChar w:fldCharType="separate"/>
            </w:r>
            <w:r>
              <w:rPr>
                <w:rFonts w:hint="eastAsia" w:ascii="仿宋_GB2312" w:hAnsi="仿宋_GB2312" w:eastAsia="仿宋_GB2312" w:cs="仿宋_GB2312"/>
                <w:b/>
                <w:bCs/>
                <w:i w:val="0"/>
                <w:iCs w:val="0"/>
                <w:color w:val="000000"/>
                <w:kern w:val="0"/>
                <w:sz w:val="24"/>
                <w:szCs w:val="24"/>
                <w:highlight w:val="none"/>
                <w:u w:val="none"/>
                <w:lang w:val="en-US" w:eastAsia="zh-CN" w:bidi="ar"/>
              </w:rPr>
              <w:t>28.13</w:t>
            </w:r>
            <w:r>
              <w:rPr>
                <w:rFonts w:hint="eastAsia" w:ascii="仿宋_GB2312" w:hAnsi="仿宋_GB2312" w:eastAsia="仿宋_GB2312" w:cs="仿宋_GB2312"/>
                <w:b/>
                <w:bCs/>
                <w:i w:val="0"/>
                <w:iCs w:val="0"/>
                <w:color w:val="000000"/>
                <w:kern w:val="0"/>
                <w:sz w:val="24"/>
                <w:szCs w:val="24"/>
                <w:highlight w:val="none"/>
                <w:u w:val="none"/>
                <w:lang w:val="en-US" w:eastAsia="zh-CN" w:bidi="ar"/>
              </w:rPr>
              <w:fldChar w:fldCharType="end"/>
            </w:r>
          </w:p>
        </w:tc>
      </w:tr>
    </w:tbl>
    <w:p w14:paraId="4E5F4400">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1.经济效益方面。</w:t>
      </w:r>
      <w:r>
        <w:rPr>
          <w:rFonts w:ascii="仿宋_GB2312" w:hAnsi="仿宋_GB2312" w:eastAsia="仿宋_GB2312" w:cs="仿宋_GB2312"/>
          <w:color w:val="auto"/>
          <w:kern w:val="2"/>
          <w:sz w:val="32"/>
          <w:szCs w:val="32"/>
          <w:lang w:bidi="ar-SA"/>
        </w:rPr>
        <w:t>该项目的实施显著提升了区域污水治理能力，有力推动了县域经济的间接发展。稳定的污水处理服务为杏林镇的产业发展提供了坚实环境保障，有助于吸引对环境标准要求较高的企业入驻，从而促进地方经济结构的优化升级。因此，该项目具备</w:t>
      </w:r>
      <w:r>
        <w:rPr>
          <w:rFonts w:hint="eastAsia" w:ascii="仿宋_GB2312" w:hAnsi="仿宋_GB2312" w:eastAsia="仿宋_GB2312" w:cs="仿宋_GB2312"/>
          <w:color w:val="auto"/>
          <w:kern w:val="2"/>
          <w:sz w:val="32"/>
          <w:szCs w:val="32"/>
          <w:lang w:val="en-US" w:eastAsia="zh-CN" w:bidi="ar-SA"/>
        </w:rPr>
        <w:t>良好</w:t>
      </w:r>
      <w:r>
        <w:rPr>
          <w:rFonts w:ascii="仿宋_GB2312" w:hAnsi="仿宋_GB2312" w:eastAsia="仿宋_GB2312" w:cs="仿宋_GB2312"/>
          <w:color w:val="auto"/>
          <w:kern w:val="2"/>
          <w:sz w:val="32"/>
          <w:szCs w:val="32"/>
          <w:lang w:bidi="ar-SA"/>
        </w:rPr>
        <w:t>的经济效益。</w:t>
      </w:r>
    </w:p>
    <w:p w14:paraId="7108854B">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left"/>
        <w:textAlignment w:val="auto"/>
        <w:rPr>
          <w:rFonts w:hint="eastAsia"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val="en-US" w:eastAsia="zh-CN" w:bidi="ar-SA"/>
        </w:rPr>
        <w:t>2.社会效益方面。</w:t>
      </w:r>
      <w:r>
        <w:rPr>
          <w:rFonts w:ascii="仿宋_GB2312" w:hAnsi="仿宋_GB2312" w:eastAsia="仿宋_GB2312" w:cs="仿宋_GB2312"/>
          <w:color w:val="auto"/>
          <w:kern w:val="2"/>
          <w:sz w:val="32"/>
          <w:szCs w:val="32"/>
          <w:lang w:bidi="ar-SA"/>
        </w:rPr>
        <w:t>该项目的实施，有力保障了污水处理厂的稳定运营，有效覆盖了电费、药剂费及设备维护等各项费用，避免因资金短缺而引发停运或处理效率下降的问题。与此同时，项目显著降低了病原体和污染物对地下水的渗透风险，从而减少了周边居民罹患水源性疾病的可能性。此外，项目还大幅改善了周边居民的生活环境，并有效提升了公众的环保意识。因此，该项目具有</w:t>
      </w:r>
      <w:r>
        <w:rPr>
          <w:rFonts w:hint="eastAsia" w:ascii="仿宋_GB2312" w:hAnsi="仿宋_GB2312" w:eastAsia="仿宋_GB2312" w:cs="仿宋_GB2312"/>
          <w:color w:val="auto"/>
          <w:kern w:val="2"/>
          <w:sz w:val="32"/>
          <w:szCs w:val="32"/>
          <w:lang w:val="en-US" w:eastAsia="zh-CN" w:bidi="ar-SA"/>
        </w:rPr>
        <w:t>良好</w:t>
      </w:r>
      <w:r>
        <w:rPr>
          <w:rFonts w:ascii="仿宋_GB2312" w:hAnsi="仿宋_GB2312" w:eastAsia="仿宋_GB2312" w:cs="仿宋_GB2312"/>
          <w:color w:val="auto"/>
          <w:kern w:val="2"/>
          <w:sz w:val="32"/>
          <w:szCs w:val="32"/>
          <w:lang w:bidi="ar-SA"/>
        </w:rPr>
        <w:t>的社会效益。</w:t>
      </w:r>
    </w:p>
    <w:p w14:paraId="4B19B8E8">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lang w:val="en-US" w:eastAsia="zh-CN" w:bidi="ar-SA"/>
        </w:rPr>
        <w:t>3.生态效益方面。</w:t>
      </w:r>
      <w:r>
        <w:rPr>
          <w:rFonts w:ascii="仿宋_GB2312" w:hAnsi="仿宋_GB2312" w:eastAsia="仿宋_GB2312" w:cs="仿宋_GB2312"/>
          <w:color w:val="auto"/>
          <w:kern w:val="2"/>
          <w:sz w:val="32"/>
          <w:szCs w:val="32"/>
          <w:lang w:bidi="ar-SA"/>
        </w:rPr>
        <w:t>该项目的实施，</w:t>
      </w:r>
      <w:r>
        <w:rPr>
          <w:rFonts w:hint="eastAsia" w:ascii="仿宋_GB2312" w:hAnsi="仿宋_GB2312" w:eastAsia="仿宋_GB2312" w:cs="仿宋_GB2312"/>
          <w:color w:val="auto"/>
          <w:kern w:val="2"/>
          <w:sz w:val="32"/>
          <w:szCs w:val="32"/>
          <w:lang w:val="en-US" w:eastAsia="zh-CN" w:bidi="ar-SA"/>
        </w:rPr>
        <w:t>对杏林镇的生态环境产生了正面影响。通过高效处理污水，项目有效减少了有害物质的排放，保护了当地的水资源，提升了水质。这不仅促进了水生态系统的恢复，还为水生生物提供了更为适宜的生存环境。同时，项目还通过减少污染物的排放，减轻了空气和土壤的污染程度，为杏林镇打造了一个更加绿色、健康的生态环境。</w:t>
      </w:r>
      <w:r>
        <w:rPr>
          <w:rFonts w:ascii="仿宋_GB2312" w:hAnsi="仿宋_GB2312" w:eastAsia="仿宋_GB2312" w:cs="仿宋_GB2312"/>
          <w:color w:val="auto"/>
          <w:kern w:val="2"/>
          <w:sz w:val="32"/>
          <w:szCs w:val="32"/>
          <w:lang w:bidi="ar-SA"/>
        </w:rPr>
        <w:t>因此，</w:t>
      </w:r>
      <w:r>
        <w:rPr>
          <w:rFonts w:hint="eastAsia" w:ascii="仿宋_GB2312" w:hAnsi="仿宋_GB2312" w:eastAsia="仿宋_GB2312" w:cs="仿宋_GB2312"/>
          <w:color w:val="auto"/>
          <w:kern w:val="2"/>
          <w:sz w:val="32"/>
          <w:szCs w:val="32"/>
          <w:lang w:val="en-US" w:eastAsia="zh-CN" w:bidi="ar-SA"/>
        </w:rPr>
        <w:t>该</w:t>
      </w:r>
      <w:r>
        <w:rPr>
          <w:rFonts w:ascii="仿宋_GB2312" w:hAnsi="仿宋_GB2312" w:eastAsia="仿宋_GB2312" w:cs="仿宋_GB2312"/>
          <w:color w:val="auto"/>
          <w:kern w:val="2"/>
          <w:sz w:val="32"/>
          <w:szCs w:val="32"/>
          <w:lang w:bidi="ar-SA"/>
        </w:rPr>
        <w:t>项目具有良好的</w:t>
      </w:r>
      <w:r>
        <w:rPr>
          <w:rFonts w:hint="eastAsia" w:ascii="仿宋_GB2312" w:hAnsi="仿宋_GB2312" w:eastAsia="仿宋_GB2312" w:cs="仿宋_GB2312"/>
          <w:color w:val="auto"/>
          <w:kern w:val="2"/>
          <w:sz w:val="32"/>
          <w:szCs w:val="32"/>
          <w:lang w:val="en-US" w:eastAsia="zh-CN" w:bidi="ar-SA"/>
        </w:rPr>
        <w:t>生态</w:t>
      </w:r>
      <w:r>
        <w:rPr>
          <w:rFonts w:ascii="仿宋_GB2312" w:hAnsi="仿宋_GB2312" w:eastAsia="仿宋_GB2312" w:cs="仿宋_GB2312"/>
          <w:color w:val="auto"/>
          <w:kern w:val="2"/>
          <w:sz w:val="32"/>
          <w:szCs w:val="32"/>
          <w:lang w:bidi="ar-SA"/>
        </w:rPr>
        <w:t>效益</w:t>
      </w:r>
      <w:r>
        <w:rPr>
          <w:rFonts w:hint="eastAsia" w:ascii="仿宋_GB2312" w:hAnsi="仿宋_GB2312" w:eastAsia="仿宋_GB2312" w:cs="仿宋_GB2312"/>
          <w:color w:val="auto"/>
          <w:kern w:val="2"/>
          <w:sz w:val="32"/>
          <w:szCs w:val="32"/>
          <w:lang w:eastAsia="zh-CN" w:bidi="ar-SA"/>
        </w:rPr>
        <w:t>。</w:t>
      </w:r>
    </w:p>
    <w:p w14:paraId="558533F0">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highlight w:val="none"/>
          <w:lang w:val="en-US" w:eastAsia="zh-CN"/>
        </w:rPr>
        <w:t>4.可持续影响方面。</w:t>
      </w:r>
      <w:r>
        <w:rPr>
          <w:rFonts w:ascii="仿宋_GB2312" w:hAnsi="仿宋_GB2312" w:eastAsia="仿宋_GB2312" w:cs="仿宋_GB2312"/>
          <w:color w:val="auto"/>
          <w:kern w:val="2"/>
          <w:sz w:val="32"/>
          <w:szCs w:val="32"/>
          <w:lang w:bidi="ar-SA"/>
        </w:rPr>
        <w:t>该项目不仅在当前阶段取得了</w:t>
      </w:r>
      <w:r>
        <w:rPr>
          <w:rFonts w:hint="eastAsia" w:ascii="仿宋_GB2312" w:hAnsi="仿宋_GB2312" w:eastAsia="仿宋_GB2312" w:cs="仿宋_GB2312"/>
          <w:color w:val="auto"/>
          <w:kern w:val="2"/>
          <w:sz w:val="32"/>
          <w:szCs w:val="32"/>
          <w:lang w:val="en-US" w:eastAsia="zh-CN" w:bidi="ar-SA"/>
        </w:rPr>
        <w:t>明显</w:t>
      </w:r>
      <w:r>
        <w:rPr>
          <w:rFonts w:ascii="仿宋_GB2312" w:hAnsi="仿宋_GB2312" w:eastAsia="仿宋_GB2312" w:cs="仿宋_GB2312"/>
          <w:color w:val="auto"/>
          <w:kern w:val="2"/>
          <w:sz w:val="32"/>
          <w:szCs w:val="32"/>
          <w:lang w:bidi="ar-SA"/>
        </w:rPr>
        <w:t>成效，更为杏林镇的长期发展奠定了坚实基础。通过提升污水处理效率与质量，实现了水资源的可持续利用，为杏林镇的可持续发展提供了有力保障。建议后续进一步优化项目的运营机制，以确保其能够长期稳定地运行。</w:t>
      </w:r>
    </w:p>
    <w:p w14:paraId="70BB52C6">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5.受表彰情况。项目单位相关工作2024年未受到市级及以上表彰奖励。</w:t>
      </w:r>
    </w:p>
    <w:p w14:paraId="23ACB51A">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646"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6.满意度方面。</w:t>
      </w:r>
      <w:r>
        <w:rPr>
          <w:rFonts w:ascii="仿宋_GB2312" w:hAnsi="仿宋_GB2312" w:eastAsia="仿宋_GB2312" w:cs="仿宋_GB2312"/>
          <w:bCs/>
          <w:kern w:val="0"/>
          <w:sz w:val="32"/>
          <w:szCs w:val="32"/>
          <w:lang w:bidi="ar-SA"/>
        </w:rPr>
        <w:t>根据针对项目受益区群众开展的现场问卷调查结果，群众的总体满意度约9</w:t>
      </w:r>
      <w:r>
        <w:rPr>
          <w:rFonts w:hint="eastAsia" w:ascii="仿宋_GB2312" w:hAnsi="仿宋_GB2312" w:eastAsia="仿宋_GB2312" w:cs="仿宋_GB2312"/>
          <w:bCs/>
          <w:kern w:val="0"/>
          <w:sz w:val="32"/>
          <w:szCs w:val="32"/>
          <w:lang w:val="en-US" w:eastAsia="zh-CN" w:bidi="ar-SA"/>
        </w:rPr>
        <w:t>2.30</w:t>
      </w:r>
      <w:r>
        <w:rPr>
          <w:rFonts w:ascii="仿宋_GB2312" w:hAnsi="仿宋_GB2312" w:eastAsia="仿宋_GB2312" w:cs="仿宋_GB2312"/>
          <w:bCs/>
          <w:kern w:val="0"/>
          <w:sz w:val="32"/>
          <w:szCs w:val="32"/>
          <w:lang w:bidi="ar-SA"/>
        </w:rPr>
        <w:t>%</w:t>
      </w:r>
      <w:r>
        <w:rPr>
          <w:rFonts w:hint="eastAsia" w:ascii="仿宋_GB2312" w:hAnsi="仿宋_GB2312" w:eastAsia="仿宋_GB2312" w:cs="仿宋_GB2312"/>
          <w:bCs/>
          <w:kern w:val="0"/>
          <w:sz w:val="32"/>
          <w:szCs w:val="32"/>
          <w:lang w:val="en-US" w:eastAsia="zh-CN" w:bidi="ar-SA"/>
        </w:rPr>
        <w:t>，</w:t>
      </w:r>
      <w:r>
        <w:rPr>
          <w:rFonts w:ascii="仿宋_GB2312" w:hAnsi="仿宋_GB2312" w:eastAsia="仿宋_GB2312" w:cs="仿宋_GB2312"/>
          <w:bCs/>
          <w:kern w:val="0"/>
          <w:sz w:val="32"/>
          <w:szCs w:val="32"/>
          <w:lang w:bidi="ar-SA"/>
        </w:rPr>
        <w:t>这表明群众对项目的实施持较高满意度。</w:t>
      </w:r>
    </w:p>
    <w:p w14:paraId="02EA8E5A">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评价组认为，项目资金管理有序，经济效益，社会效益较好，群众满意度较高，专项资金的社会效益作用发挥较为充分。</w:t>
      </w:r>
    </w:p>
    <w:p w14:paraId="0E9F2C5D">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6" w:firstLineChars="20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bidi="ar-SA"/>
        </w:rPr>
        <w:t>五、存在的问题及原因分析</w:t>
      </w:r>
    </w:p>
    <w:p w14:paraId="48C63863">
      <w:pPr>
        <w:pStyle w:val="9"/>
        <w:keepNext w:val="0"/>
        <w:keepLines w:val="0"/>
        <w:pageBreakBefore w:val="0"/>
        <w:widowControl w:val="0"/>
        <w:kinsoku/>
        <w:wordWrap/>
        <w:overflowPunct/>
        <w:topLinePunct w:val="0"/>
        <w:autoSpaceDE/>
        <w:autoSpaceDN/>
        <w:bidi w:val="0"/>
        <w:adjustRightInd/>
        <w:snapToGrid/>
        <w:spacing w:line="560" w:lineRule="exact"/>
        <w:ind w:left="0" w:firstLine="646" w:firstLineChars="200"/>
        <w:jc w:val="both"/>
        <w:textAlignment w:val="auto"/>
        <w:rPr>
          <w:rFonts w:hint="eastAsia" w:ascii="仿宋_GB2312" w:hAnsi="仿宋_GB2312" w:eastAsia="仿宋_GB2312" w:cs="仿宋_GB2312"/>
          <w:color w:val="auto"/>
          <w:kern w:val="2"/>
          <w:sz w:val="32"/>
          <w:szCs w:val="32"/>
          <w:lang w:eastAsia="zh-CN" w:bidi="ar-SA"/>
        </w:rPr>
      </w:pPr>
      <w:r>
        <w:rPr>
          <w:rFonts w:hint="eastAsia" w:ascii="楷体" w:hAnsi="楷体" w:eastAsia="楷体" w:cs="楷体"/>
          <w:b/>
          <w:bCs/>
          <w:kern w:val="2"/>
          <w:sz w:val="32"/>
          <w:szCs w:val="32"/>
          <w:highlight w:val="none"/>
          <w:lang w:val="en-US" w:eastAsia="zh-CN" w:bidi="ar-SA"/>
        </w:rPr>
        <w:t>（一）污水处理厂的管理有待提升。</w:t>
      </w:r>
      <w:r>
        <w:rPr>
          <w:rFonts w:ascii="仿宋_GB2312" w:hAnsi="仿宋_GB2312" w:eastAsia="仿宋_GB2312" w:cs="仿宋_GB2312"/>
          <w:color w:val="auto"/>
          <w:kern w:val="2"/>
          <w:sz w:val="32"/>
          <w:szCs w:val="32"/>
          <w:lang w:bidi="ar-SA"/>
        </w:rPr>
        <w:t>一是未见项目实施单位对杏林镇污水处理厂进行日常监督及检查的相关记录资料；二是杏林镇污水处理厂的运营和日常管理有待进一步提升。具体表现为：污水处理厂的日常运维记录不够详尽，部分关键设备的维护保养记录缺失，未能按照合同要求每季度向杏林镇人民政府提交《污水处理站水质检测月统计表》、《污水站工艺、设备巡检记录表》、</w:t>
      </w:r>
      <w:r>
        <w:rPr>
          <w:rFonts w:hint="eastAsia" w:ascii="仿宋_GB2312" w:hAnsi="仿宋_GB2312" w:eastAsia="仿宋_GB2312" w:cs="仿宋_GB2312"/>
          <w:color w:val="auto"/>
          <w:kern w:val="2"/>
          <w:sz w:val="32"/>
          <w:szCs w:val="32"/>
          <w:lang w:val="en-US" w:eastAsia="zh-CN" w:bidi="ar-SA"/>
        </w:rPr>
        <w:t>生态环境</w:t>
      </w:r>
      <w:r>
        <w:rPr>
          <w:rFonts w:ascii="仿宋_GB2312" w:hAnsi="仿宋_GB2312" w:eastAsia="仿宋_GB2312" w:cs="仿宋_GB2312"/>
          <w:color w:val="auto"/>
          <w:kern w:val="2"/>
          <w:sz w:val="32"/>
          <w:szCs w:val="32"/>
          <w:lang w:bidi="ar-SA"/>
        </w:rPr>
        <w:t>部门报告、污水处理情况及相关数据的书面报告</w:t>
      </w:r>
      <w:r>
        <w:rPr>
          <w:rFonts w:hint="eastAsia" w:ascii="仿宋_GB2312" w:hAnsi="仿宋_GB2312" w:eastAsia="仿宋_GB2312" w:cs="仿宋_GB2312"/>
          <w:color w:val="auto"/>
          <w:kern w:val="2"/>
          <w:sz w:val="32"/>
          <w:szCs w:val="32"/>
          <w:lang w:eastAsia="zh-CN" w:bidi="ar-SA"/>
        </w:rPr>
        <w:t>。</w:t>
      </w:r>
    </w:p>
    <w:p w14:paraId="679736F9">
      <w:pPr>
        <w:pStyle w:val="9"/>
        <w:keepNext w:val="0"/>
        <w:keepLines w:val="0"/>
        <w:pageBreakBefore w:val="0"/>
        <w:kinsoku/>
        <w:wordWrap/>
        <w:overflowPunct/>
        <w:topLinePunct w:val="0"/>
        <w:autoSpaceDE/>
        <w:autoSpaceDN/>
        <w:bidi w:val="0"/>
        <w:adjustRightInd/>
        <w:snapToGrid/>
        <w:spacing w:line="560" w:lineRule="exact"/>
        <w:ind w:left="0" w:firstLine="646" w:firstLineChars="200"/>
        <w:textAlignment w:val="auto"/>
        <w:rPr>
          <w:rFonts w:hint="eastAsia"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（二）制度制定尚不完善。</w:t>
      </w:r>
      <w:r>
        <w:rPr>
          <w:rFonts w:ascii="仿宋_GB2312" w:hAnsi="仿宋_GB2312" w:eastAsia="仿宋_GB2312" w:cs="仿宋_GB2312"/>
          <w:color w:val="auto"/>
          <w:kern w:val="2"/>
          <w:sz w:val="32"/>
          <w:szCs w:val="32"/>
          <w:lang w:bidi="ar-SA"/>
        </w:rPr>
        <w:t>项目</w:t>
      </w:r>
      <w:r>
        <w:rPr>
          <w:rFonts w:hint="eastAsia" w:ascii="仿宋_GB2312" w:hAnsi="仿宋_GB2312" w:eastAsia="仿宋_GB2312" w:cs="仿宋_GB2312"/>
          <w:color w:val="auto"/>
          <w:kern w:val="2"/>
          <w:sz w:val="32"/>
          <w:szCs w:val="32"/>
          <w:lang w:val="en-US" w:eastAsia="zh-CN" w:bidi="ar-SA"/>
        </w:rPr>
        <w:t>实施</w:t>
      </w:r>
      <w:r>
        <w:rPr>
          <w:rFonts w:ascii="仿宋_GB2312" w:hAnsi="仿宋_GB2312" w:eastAsia="仿宋_GB2312" w:cs="仿宋_GB2312"/>
          <w:color w:val="auto"/>
          <w:kern w:val="2"/>
          <w:sz w:val="32"/>
          <w:szCs w:val="32"/>
          <w:lang w:bidi="ar-SA"/>
        </w:rPr>
        <w:t>单位现有制度体系尚不健全，缺少财务管理制度、专项资金管理办法</w:t>
      </w:r>
      <w:r>
        <w:rPr>
          <w:rFonts w:hint="eastAsia" w:ascii="仿宋_GB2312" w:hAnsi="仿宋_GB2312" w:eastAsia="仿宋_GB2312" w:cs="仿宋_GB2312"/>
          <w:color w:val="auto"/>
          <w:kern w:val="2"/>
          <w:sz w:val="32"/>
          <w:szCs w:val="32"/>
          <w:lang w:val="en-US" w:eastAsia="zh-CN" w:bidi="ar-SA"/>
        </w:rPr>
        <w:t>及项目管理办法</w:t>
      </w:r>
      <w:r>
        <w:rPr>
          <w:rFonts w:ascii="仿宋_GB2312" w:hAnsi="仿宋_GB2312" w:eastAsia="仿宋_GB2312" w:cs="仿宋_GB2312"/>
          <w:color w:val="auto"/>
          <w:kern w:val="2"/>
          <w:sz w:val="32"/>
          <w:szCs w:val="32"/>
          <w:lang w:bidi="ar-SA"/>
        </w:rPr>
        <w:t>等。</w:t>
      </w:r>
    </w:p>
    <w:p w14:paraId="3CC56FD3">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（三）项目绩效管理工作不够扎实。</w:t>
      </w:r>
      <w:r>
        <w:rPr>
          <w:rFonts w:hint="eastAsia" w:ascii="仿宋_GB2312" w:hAnsi="仿宋_GB2312" w:eastAsia="仿宋_GB2312" w:cs="仿宋_GB2312"/>
          <w:color w:val="auto"/>
          <w:kern w:val="2"/>
          <w:sz w:val="32"/>
          <w:szCs w:val="32"/>
          <w:highlight w:val="none"/>
          <w:lang w:val="en-US" w:eastAsia="zh-CN" w:bidi="ar-SA"/>
        </w:rPr>
        <w:t>尽管项目实施单位已开展了绩效管理工作，事前有项目绩效目标，事后进行了绩效目标完成情况考核和自评工作，也编制了项目绩效自评报告。但仍存在着个别绩效目标设置不合理、不规范，自评报告不详实等问题。</w:t>
      </w:r>
    </w:p>
    <w:p w14:paraId="2F18B1B3">
      <w:pPr>
        <w:keepNext w:val="0"/>
        <w:keepLines w:val="0"/>
        <w:pageBreakBefore w:val="0"/>
        <w:widowControl w:val="0"/>
        <w:kinsoku/>
        <w:wordWrap/>
        <w:overflowPunct/>
        <w:topLinePunct w:val="0"/>
        <w:autoSpaceDE/>
        <w:autoSpaceDN/>
        <w:bidi w:val="0"/>
        <w:adjustRightInd/>
        <w:snapToGrid/>
        <w:spacing w:line="560" w:lineRule="exact"/>
        <w:ind w:left="0" w:firstLine="646" w:firstLineChars="200"/>
        <w:textAlignment w:val="auto"/>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六、相关建议</w:t>
      </w:r>
    </w:p>
    <w:p w14:paraId="5E174237">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kern w:val="2"/>
          <w:sz w:val="32"/>
          <w:szCs w:val="32"/>
          <w:highlight w:val="none"/>
          <w:lang w:val="en-US" w:eastAsia="zh-CN" w:bidi="ar-SA"/>
        </w:rPr>
        <w:t>（一）加强污水处理厂的监督管理。</w:t>
      </w:r>
      <w:r>
        <w:rPr>
          <w:rFonts w:ascii="仿宋_GB2312" w:hAnsi="仿宋_GB2312" w:eastAsia="仿宋_GB2312" w:cs="仿宋_GB2312"/>
          <w:color w:val="auto"/>
          <w:kern w:val="2"/>
          <w:sz w:val="32"/>
          <w:szCs w:val="32"/>
          <w:lang w:bidi="ar-SA"/>
        </w:rPr>
        <w:t>一是强化对项目实施单位的监督检查机制。应建立定期监督制度，明确污水处理厂监督检查的频次，例如每月至少进行1次现场检查，每季度开展1次全面评估。同时，制定标准化的检查清单，涵盖污水处理工艺运行、设备状态、记录完整性、出水达标情况等核心内容；并规范监督记录管理：要求检查人员现场填写《监督检查记录表》，详细记录检查时间、发现的问题、整改建议及责任人。检查记录需经双方签字确认后存档，形成“检查—反馈—整改—复查”的闭环管理台账</w:t>
      </w:r>
      <w:r>
        <w:rPr>
          <w:rFonts w:hint="eastAsia" w:ascii="仿宋_GB2312" w:hAnsi="仿宋_GB2312" w:eastAsia="仿宋_GB2312" w:cs="仿宋_GB2312"/>
          <w:color w:val="auto"/>
          <w:kern w:val="2"/>
          <w:sz w:val="32"/>
          <w:szCs w:val="32"/>
          <w:lang w:eastAsia="zh-CN" w:bidi="ar-SA"/>
        </w:rPr>
        <w:t>；</w:t>
      </w:r>
      <w:r>
        <w:rPr>
          <w:rFonts w:ascii="仿宋_GB2312" w:hAnsi="仿宋_GB2312" w:eastAsia="仿宋_GB2312" w:cs="仿宋_GB2312"/>
          <w:color w:val="auto"/>
          <w:kern w:val="2"/>
          <w:sz w:val="32"/>
          <w:szCs w:val="32"/>
          <w:lang w:bidi="ar-SA"/>
        </w:rPr>
        <w:t>二是提升污水处理厂自身的运营与日常管理能力。规范运维记录内容，制定《日常运维记录模板》，明确需记录的关键信息，包括每日进水水质（COD、氨氮等指标）、处理单元运行参数（如曝气时间、污泥浓度）、出水水质检测结果、异常情况（如设备故障、水质波动）及处理措施等，确保记录连续、详尽、可追溯。同时，完善关键设备维护台账，针对格栅、水泵、曝气设备、污泥脱水机等关键设备，制定《设备维护保养计划》（明确保养周期、内容、标准），每次维护后需记录保养时间、执行人、更换部件、设备运行状态等信息，建立电子与纸质双台账，并定期由运营负责人审核</w:t>
      </w:r>
      <w:r>
        <w:rPr>
          <w:rFonts w:hint="eastAsia" w:ascii="仿宋_GB2312" w:hAnsi="仿宋_GB2312" w:eastAsia="仿宋_GB2312" w:cs="仿宋_GB2312"/>
          <w:color w:val="auto"/>
          <w:kern w:val="2"/>
          <w:sz w:val="32"/>
          <w:szCs w:val="32"/>
          <w:lang w:eastAsia="zh-CN" w:bidi="ar-SA"/>
        </w:rPr>
        <w:t>；</w:t>
      </w:r>
      <w:r>
        <w:rPr>
          <w:rFonts w:ascii="仿宋_GB2312" w:hAnsi="仿宋_GB2312" w:eastAsia="仿宋_GB2312" w:cs="仿宋_GB2312"/>
          <w:color w:val="auto"/>
          <w:kern w:val="2"/>
          <w:sz w:val="32"/>
          <w:szCs w:val="32"/>
          <w:lang w:bidi="ar-SA"/>
        </w:rPr>
        <w:t>三是严格落实报告提交制度。明确报告提交责任，指定污水处理厂运营团队中的专人（如技术负责人）负责整理《污水处理站水质检测月统计表》《污水站工艺、设备巡检记录表》等资料，确保数据真实、完整。建立报告提交提醒机制，通过日历标注、工作群提醒等方式，在每季度末前5个工作日触发提醒，确保按时向杏林镇人民政府提交书面报告（含</w:t>
      </w:r>
      <w:r>
        <w:rPr>
          <w:rFonts w:hint="eastAsia" w:ascii="仿宋_GB2312" w:hAnsi="仿宋_GB2312" w:eastAsia="仿宋_GB2312" w:cs="仿宋_GB2312"/>
          <w:color w:val="auto"/>
          <w:kern w:val="2"/>
          <w:sz w:val="32"/>
          <w:szCs w:val="32"/>
          <w:lang w:val="en-US" w:eastAsia="zh-CN" w:bidi="ar-SA"/>
        </w:rPr>
        <w:t>生态环境</w:t>
      </w:r>
      <w:r>
        <w:rPr>
          <w:rFonts w:ascii="仿宋_GB2312" w:hAnsi="仿宋_GB2312" w:eastAsia="仿宋_GB2312" w:cs="仿宋_GB2312"/>
          <w:color w:val="auto"/>
          <w:kern w:val="2"/>
          <w:sz w:val="32"/>
          <w:szCs w:val="32"/>
          <w:lang w:bidi="ar-SA"/>
        </w:rPr>
        <w:t>部门检测报告、污水处理量、达标率等核心数据），并留存提交回执（如签收单、邮件记录）。通过以上措施，逐步提升污水处理厂的规范化运营水平。</w:t>
      </w:r>
      <w:bookmarkStart w:id="2" w:name="_GoBack"/>
      <w:bookmarkEnd w:id="2"/>
    </w:p>
    <w:p w14:paraId="0E4C83D9">
      <w:pPr>
        <w:keepNext w:val="0"/>
        <w:keepLines w:val="0"/>
        <w:pageBreakBefore w:val="0"/>
        <w:widowControl w:val="0"/>
        <w:kinsoku/>
        <w:wordWrap/>
        <w:overflowPunct/>
        <w:topLinePunct w:val="0"/>
        <w:autoSpaceDE/>
        <w:autoSpaceDN/>
        <w:bidi w:val="0"/>
        <w:adjustRightInd/>
        <w:snapToGrid/>
        <w:spacing w:line="560" w:lineRule="exact"/>
        <w:ind w:left="0" w:firstLine="646"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highlight w:val="none"/>
          <w:lang w:val="en-US" w:eastAsia="zh-CN" w:bidi="ar-SA"/>
        </w:rPr>
        <w:t>（二）完善现有项目管理制度，健全制度体系。</w:t>
      </w:r>
      <w:r>
        <w:rPr>
          <w:rFonts w:ascii="仿宋_GB2312" w:hAnsi="仿宋_GB2312" w:eastAsia="仿宋_GB2312" w:cs="仿宋_GB2312"/>
          <w:kern w:val="2"/>
          <w:sz w:val="32"/>
          <w:szCs w:val="32"/>
          <w:lang w:bidi="ar-SA"/>
        </w:rPr>
        <w:t>应</w:t>
      </w:r>
      <w:r>
        <w:rPr>
          <w:rFonts w:hint="eastAsia" w:ascii="仿宋_GB2312" w:hAnsi="仿宋_GB2312" w:eastAsia="仿宋_GB2312" w:cs="仿宋_GB2312"/>
          <w:kern w:val="2"/>
          <w:sz w:val="32"/>
          <w:szCs w:val="32"/>
          <w:lang w:val="en-US" w:eastAsia="zh-CN" w:bidi="ar-SA"/>
        </w:rPr>
        <w:t>健全制度体系，</w:t>
      </w:r>
      <w:r>
        <w:rPr>
          <w:rFonts w:ascii="仿宋_GB2312" w:hAnsi="仿宋_GB2312" w:eastAsia="仿宋_GB2312" w:cs="仿宋_GB2312"/>
          <w:kern w:val="2"/>
          <w:sz w:val="32"/>
          <w:szCs w:val="32"/>
          <w:lang w:bidi="ar-SA"/>
        </w:rPr>
        <w:t>尽快制定</w:t>
      </w:r>
      <w:r>
        <w:rPr>
          <w:rFonts w:ascii="仿宋_GB2312" w:hAnsi="仿宋_GB2312" w:eastAsia="仿宋_GB2312" w:cs="仿宋_GB2312"/>
          <w:color w:val="auto"/>
          <w:kern w:val="2"/>
          <w:sz w:val="32"/>
          <w:szCs w:val="32"/>
          <w:lang w:bidi="ar-SA"/>
        </w:rPr>
        <w:t>财务管理制度、专项资金管理办法</w:t>
      </w:r>
      <w:r>
        <w:rPr>
          <w:rFonts w:hint="eastAsia" w:ascii="仿宋_GB2312" w:hAnsi="仿宋_GB2312" w:eastAsia="仿宋_GB2312" w:cs="仿宋_GB2312"/>
          <w:color w:val="auto"/>
          <w:kern w:val="2"/>
          <w:sz w:val="32"/>
          <w:szCs w:val="32"/>
          <w:lang w:val="en-US" w:eastAsia="zh-CN" w:bidi="ar-SA"/>
        </w:rPr>
        <w:t>及项目管理办法</w:t>
      </w:r>
      <w:r>
        <w:rPr>
          <w:rFonts w:ascii="仿宋_GB2312" w:hAnsi="仿宋_GB2312" w:eastAsia="仿宋_GB2312" w:cs="仿宋_GB2312"/>
          <w:kern w:val="2"/>
          <w:sz w:val="32"/>
          <w:szCs w:val="32"/>
          <w:lang w:bidi="ar-SA"/>
        </w:rPr>
        <w:t>等。在制度制定过程中，需广泛征求项目各部门及相关人员的意见，充分考虑项目的实际运作需求及可能出现的问题，确保制度具有可操作性。制度制定完成后，需履行规范的审批程序，经项目单位负责人审批同意后，注明制定日期并加盖公章予以发布实施。同时，应加强对制度的宣传和培训，确保相关人员熟悉制度内容，并严格按照制度执行。</w:t>
      </w:r>
    </w:p>
    <w:p w14:paraId="7B2F30DC">
      <w:pPr>
        <w:keepNext w:val="0"/>
        <w:keepLines w:val="0"/>
        <w:pageBreakBefore w:val="0"/>
        <w:widowControl w:val="0"/>
        <w:kinsoku/>
        <w:wordWrap/>
        <w:overflowPunct/>
        <w:topLinePunct w:val="0"/>
        <w:autoSpaceDE/>
        <w:autoSpaceDN/>
        <w:bidi w:val="0"/>
        <w:adjustRightInd/>
        <w:snapToGrid/>
        <w:spacing w:line="560" w:lineRule="exact"/>
        <w:ind w:left="0" w:firstLine="646" w:firstLineChars="200"/>
        <w:textAlignment w:val="auto"/>
        <w:rPr>
          <w:rFonts w:hint="eastAsia" w:ascii="楷体" w:hAnsi="楷体" w:eastAsia="楷体" w:cs="楷体"/>
          <w:b/>
          <w:bCs/>
          <w:kern w:val="2"/>
          <w:sz w:val="32"/>
          <w:szCs w:val="32"/>
          <w:highlight w:val="none"/>
          <w:lang w:val="en-US" w:eastAsia="zh-CN" w:bidi="ar-SA"/>
        </w:rPr>
      </w:pPr>
      <w:bookmarkStart w:id="1" w:name="_Toc19398"/>
      <w:r>
        <w:rPr>
          <w:rFonts w:hint="eastAsia" w:ascii="楷体" w:hAnsi="楷体" w:eastAsia="楷体" w:cs="楷体"/>
          <w:b/>
          <w:bCs/>
          <w:color w:val="auto"/>
          <w:kern w:val="2"/>
          <w:sz w:val="32"/>
          <w:szCs w:val="32"/>
          <w:highlight w:val="none"/>
          <w:lang w:val="en-US" w:eastAsia="zh-CN" w:bidi="ar-SA"/>
        </w:rPr>
        <w:t>（三）</w:t>
      </w:r>
      <w:r>
        <w:rPr>
          <w:rFonts w:hint="default" w:ascii="楷体" w:hAnsi="楷体" w:eastAsia="楷体" w:cs="楷体"/>
          <w:b/>
          <w:bCs/>
          <w:color w:val="auto"/>
          <w:kern w:val="2"/>
          <w:sz w:val="32"/>
          <w:szCs w:val="32"/>
          <w:highlight w:val="none"/>
          <w:lang w:val="en-US" w:eastAsia="zh-CN" w:bidi="ar-SA"/>
        </w:rPr>
        <w:fldChar w:fldCharType="begin"/>
      </w:r>
      <w:r>
        <w:rPr>
          <w:rFonts w:hint="default" w:ascii="楷体" w:hAnsi="楷体" w:eastAsia="楷体" w:cs="楷体"/>
          <w:b/>
          <w:bCs/>
          <w:color w:val="auto"/>
          <w:kern w:val="2"/>
          <w:sz w:val="32"/>
          <w:szCs w:val="32"/>
          <w:highlight w:val="none"/>
          <w:lang w:val="en-US" w:eastAsia="zh-CN" w:bidi="ar-SA"/>
        </w:rPr>
        <w:instrText xml:space="preserve"> HYPERLINK "https://www.so.com/link?m=b2vXtyjXZMuBwFDYkdRimUwV270Tsd/pD5H4142xP/mAg30wiKok+nJwMyBTAoRPfXDjyT3YIryqtLVSAFDZBjbDa3i/J9wHK5mya6kdlea/bu0Mj18LeIr1sxAv/dZ8yBqLmA8jha/CS/LKmOkkjvoiJXgdOizd6dvjDcs6CpzoA7UBqJWTb5b3xArx16bm3DfaHHexLjsaNRevwrUqxprDtAntKQvJgZ9fccmbSYPrb0W67sKFn9vjnhqk1sjaT5/oaQhG7Np9SwVhJ2okmrAtIvI2KoIaWupQMIUxJRf9BZcmY3owdNV+t+P/+gRU6QkwP7obnaoxdrI1WLYqUY5nAS02UKySm0bod7wVL1igLbsyvlvCLMUl6b9Eg0gma/YuxLA==" \t "https://www.so.com/_blank" </w:instrText>
      </w:r>
      <w:r>
        <w:rPr>
          <w:rFonts w:hint="default" w:ascii="楷体" w:hAnsi="楷体" w:eastAsia="楷体" w:cs="楷体"/>
          <w:b/>
          <w:bCs/>
          <w:color w:val="auto"/>
          <w:kern w:val="2"/>
          <w:sz w:val="32"/>
          <w:szCs w:val="32"/>
          <w:highlight w:val="none"/>
          <w:lang w:val="en-US" w:eastAsia="zh-CN" w:bidi="ar-SA"/>
        </w:rPr>
        <w:fldChar w:fldCharType="separate"/>
      </w:r>
      <w:r>
        <w:rPr>
          <w:rFonts w:hint="default" w:ascii="楷体" w:hAnsi="楷体" w:eastAsia="楷体" w:cs="楷体"/>
          <w:b/>
          <w:bCs/>
          <w:color w:val="auto"/>
          <w:kern w:val="2"/>
          <w:sz w:val="32"/>
          <w:szCs w:val="32"/>
          <w:highlight w:val="none"/>
          <w:lang w:val="en-US" w:eastAsia="zh-CN" w:bidi="ar-SA"/>
        </w:rPr>
        <w:t>加强项目绩效管理</w:t>
      </w:r>
      <w:r>
        <w:rPr>
          <w:rFonts w:hint="eastAsia" w:ascii="楷体" w:hAnsi="楷体" w:eastAsia="楷体" w:cs="楷体"/>
          <w:b/>
          <w:bCs/>
          <w:color w:val="auto"/>
          <w:kern w:val="2"/>
          <w:sz w:val="32"/>
          <w:szCs w:val="32"/>
          <w:highlight w:val="none"/>
          <w:lang w:val="en-US" w:eastAsia="zh-CN" w:bidi="ar-SA"/>
        </w:rPr>
        <w:t>，</w:t>
      </w:r>
      <w:r>
        <w:rPr>
          <w:rFonts w:hint="default" w:ascii="楷体" w:hAnsi="楷体" w:eastAsia="楷体" w:cs="楷体"/>
          <w:b/>
          <w:bCs/>
          <w:color w:val="auto"/>
          <w:kern w:val="2"/>
          <w:sz w:val="32"/>
          <w:szCs w:val="32"/>
          <w:highlight w:val="none"/>
          <w:lang w:val="en-US" w:eastAsia="zh-CN" w:bidi="ar-SA"/>
        </w:rPr>
        <w:t>发挥财政资金使用效率</w:t>
      </w:r>
      <w:r>
        <w:rPr>
          <w:rFonts w:hint="default" w:ascii="楷体" w:hAnsi="楷体" w:eastAsia="楷体" w:cs="楷体"/>
          <w:b/>
          <w:bCs/>
          <w:color w:val="auto"/>
          <w:kern w:val="2"/>
          <w:sz w:val="32"/>
          <w:szCs w:val="32"/>
          <w:highlight w:val="none"/>
          <w:lang w:val="en-US" w:eastAsia="zh-CN" w:bidi="ar-SA"/>
        </w:rPr>
        <w:fldChar w:fldCharType="end"/>
      </w:r>
      <w:r>
        <w:rPr>
          <w:rFonts w:hint="eastAsia" w:ascii="楷体" w:hAnsi="楷体" w:eastAsia="楷体" w:cs="楷体"/>
          <w:b/>
          <w:bCs/>
          <w:color w:val="auto"/>
          <w:kern w:val="2"/>
          <w:sz w:val="32"/>
          <w:szCs w:val="32"/>
          <w:highlight w:val="none"/>
          <w:lang w:val="en-US" w:eastAsia="zh-CN" w:bidi="ar-SA"/>
        </w:rPr>
        <w:t>。</w:t>
      </w:r>
      <w:r>
        <w:rPr>
          <w:rFonts w:hint="eastAsia" w:ascii="仿宋_GB2312" w:hAnsi="仿宋_GB2312" w:eastAsia="仿宋_GB2312" w:cs="仿宋_GB2312"/>
          <w:kern w:val="2"/>
          <w:sz w:val="32"/>
          <w:szCs w:val="32"/>
          <w:lang w:val="en-US" w:eastAsia="zh-CN" w:bidi="ar-SA"/>
        </w:rPr>
        <w:t>一是项目单位要强化预算绩效目标管理，科学设置项目绩效目标，</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HYPERLINK "https://www.so.com/link?m=bi3R41Ewdd5mEguxzKHLJ0zRK9RCMpbIE2ohWRNgO+nbr7/MK322ZLB+nUyMJaIS/zPAt0Iy7kJ6updQyJj7q74l2KsT+8LTwogzKMLWZXlqrPFSZwry0iEQqSBiN9pbdSjnNJDPvQ7sPJsQH3c47w0pVhevl1fm+xbwiCme6DJL+sUfbAAUOS6XsQ9kabDDRLdm0MRhmD1cOjuAD17a62yPAihHBZCfAhbRrWmTkgrxbIDW+nGR8LLUvtxMoJur/q8fv1gGy6bCGxiNmHQkAiDWUF/6dbdbI4KyHnGEtk8HYxm61Ibfz6J+ygfbBSIxdozCDYwcmfeXFE+H4a//WbkfIr4ZRMHn8i1ODMmqr+AHDI7ZlsHxk5Z5aUg63ATuqrGEddxQWpqM=" \t "https://www.so.com/_blank"</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切实增强绩效目标的完整性、相关性、适当性和可行性</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确保项目绩效目标与政策目标、社会公众需求、财政投入规模、部门职责职能、项目实施计划等相匹配；二是项目单位要切实担负起预算绩效管理主体责任，进一步完善内部管理机制，严格按照既定的项目绩效目标指标任务，制定确保项目目标实现的保障措施，同时，要加强预算绩效管理的监督检查力度，着力</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HYPERLINK "https://www.so.com/link?m=bnd0CS7m7t9AaAvPB2vH3BRP3/yfQNsp7znNkGwWuAe2gRUIUiYZWEEBblmgEYi8HDloBvW8bC0mfHnSxA9UV1RBK/q3fx8zjIVpaTUgIaI3PDpZjJw+1eKU+k5YLUEFStmegNVtQIutFjMVz2F2ygLqp5a5M4MsKcIfm1NDvADG/SVEEgtZsLfSEEFShYsXI52EGDRCuBmB4+bEXdNWf7HQiuw3pahee5pto3xMW5uZP03jp72j5kYnxo5Z8Oll7hG6fwixOvCgwBFnMyWQeGVuYLi05PdBLV6tdSyohm7xKa/ACeP3f3vzV8oTGbts7" \t "https://www.so.com/_blank"</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提高财政资金使用效益</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；三是项目实施单位要扎实开展绩效自评工作，通过对项目相关制度建立情</w:t>
      </w:r>
      <w:r>
        <w:rPr>
          <w:rFonts w:hint="eastAsia" w:ascii="仿宋_GB2312" w:hAnsi="仿宋_GB2312" w:eastAsia="仿宋_GB2312" w:cs="仿宋_GB2312"/>
          <w:kern w:val="2"/>
          <w:sz w:val="32"/>
          <w:szCs w:val="32"/>
          <w:highlight w:val="none"/>
          <w:lang w:val="en-US" w:eastAsia="zh-CN" w:bidi="ar-SA"/>
        </w:rPr>
        <w:t>况、</w:t>
      </w:r>
      <w:r>
        <w:rPr>
          <w:rFonts w:hint="eastAsia" w:ascii="仿宋_GB2312" w:hAnsi="仿宋_GB2312" w:eastAsia="仿宋_GB2312" w:cs="仿宋_GB2312"/>
          <w:b w:val="0"/>
          <w:bCs w:val="0"/>
          <w:kern w:val="2"/>
          <w:sz w:val="32"/>
          <w:szCs w:val="32"/>
          <w:highlight w:val="none"/>
          <w:lang w:val="en-US" w:eastAsia="zh-CN" w:bidi="ar-SA"/>
        </w:rPr>
        <w:t>资金</w:t>
      </w:r>
      <w:r>
        <w:rPr>
          <w:rFonts w:hint="eastAsia" w:ascii="仿宋_GB2312" w:hAnsi="仿宋_GB2312" w:eastAsia="仿宋_GB2312" w:cs="仿宋_GB2312"/>
          <w:kern w:val="2"/>
          <w:sz w:val="32"/>
          <w:szCs w:val="32"/>
          <w:highlight w:val="none"/>
          <w:lang w:val="en-US" w:eastAsia="zh-CN" w:bidi="ar-SA"/>
        </w:rPr>
        <w:t>使</w:t>
      </w:r>
      <w:r>
        <w:rPr>
          <w:rFonts w:hint="eastAsia" w:ascii="仿宋_GB2312" w:hAnsi="仿宋_GB2312" w:eastAsia="仿宋_GB2312" w:cs="仿宋_GB2312"/>
          <w:kern w:val="2"/>
          <w:sz w:val="32"/>
          <w:szCs w:val="32"/>
          <w:lang w:val="en-US" w:eastAsia="zh-CN" w:bidi="ar-SA"/>
        </w:rPr>
        <w:t>用情况、绩效目标实现等情况进行自我评价，分析存在问题及原因，及时总结经验，改进管理措施，有效提高资金管理水平和使用效益</w:t>
      </w:r>
      <w:r>
        <w:rPr>
          <w:rFonts w:hint="eastAsia" w:ascii="仿宋_GB2312" w:hAnsi="仿宋_GB2312" w:eastAsia="仿宋_GB2312" w:cs="仿宋_GB2312"/>
          <w:color w:val="auto"/>
          <w:kern w:val="2"/>
          <w:sz w:val="32"/>
          <w:szCs w:val="32"/>
          <w:highlight w:val="none"/>
          <w:lang w:val="en-US" w:eastAsia="zh-CN" w:bidi="ar-SA"/>
        </w:rPr>
        <w:t>。</w:t>
      </w:r>
    </w:p>
    <w:bookmarkEnd w:id="1"/>
    <w:p w14:paraId="629A728D">
      <w:pPr>
        <w:keepNext w:val="0"/>
        <w:keepLines w:val="0"/>
        <w:pageBreakBefore w:val="0"/>
        <w:widowControl w:val="0"/>
        <w:kinsoku/>
        <w:wordWrap/>
        <w:overflowPunct/>
        <w:topLinePunct w:val="0"/>
        <w:autoSpaceDE/>
        <w:autoSpaceDN/>
        <w:bidi w:val="0"/>
        <w:adjustRightInd/>
        <w:snapToGrid/>
        <w:spacing w:line="560" w:lineRule="exact"/>
        <w:ind w:left="0" w:right="0"/>
        <w:jc w:val="left"/>
        <w:textAlignment w:val="auto"/>
        <w:rPr>
          <w:rFonts w:hint="eastAsia" w:ascii="仿宋_GB2312" w:hAnsi="仿宋_GB2312" w:eastAsia="仿宋_GB2312" w:cs="仿宋_GB2312"/>
          <w:color w:val="auto"/>
          <w:sz w:val="32"/>
          <w:szCs w:val="32"/>
          <w:highlight w:val="none"/>
        </w:rPr>
      </w:pPr>
    </w:p>
    <w:p w14:paraId="46D9E8E9">
      <w:pPr>
        <w:keepNext w:val="0"/>
        <w:keepLines w:val="0"/>
        <w:pageBreakBefore w:val="0"/>
        <w:widowControl w:val="0"/>
        <w:kinsoku/>
        <w:wordWrap/>
        <w:overflowPunct/>
        <w:topLinePunct w:val="0"/>
        <w:autoSpaceDE/>
        <w:autoSpaceDN/>
        <w:bidi w:val="0"/>
        <w:adjustRightInd/>
        <w:snapToGrid/>
        <w:spacing w:line="560" w:lineRule="exact"/>
        <w:ind w:left="0" w:right="0"/>
        <w:jc w:val="left"/>
        <w:textAlignment w:val="auto"/>
        <w:rPr>
          <w:rFonts w:hint="eastAsia" w:ascii="仿宋_GB2312" w:hAnsi="仿宋_GB2312" w:eastAsia="仿宋_GB2312" w:cs="仿宋_GB2312"/>
          <w:color w:val="auto"/>
          <w:sz w:val="32"/>
          <w:szCs w:val="32"/>
          <w:highlight w:val="none"/>
        </w:rPr>
      </w:pPr>
    </w:p>
    <w:p w14:paraId="2A4E33BD">
      <w:pPr>
        <w:keepNext w:val="0"/>
        <w:keepLines w:val="0"/>
        <w:pageBreakBefore w:val="0"/>
        <w:widowControl w:val="0"/>
        <w:kinsoku/>
        <w:wordWrap/>
        <w:overflowPunct/>
        <w:topLinePunct w:val="0"/>
        <w:autoSpaceDE/>
        <w:autoSpaceDN/>
        <w:bidi w:val="0"/>
        <w:adjustRightInd/>
        <w:snapToGrid/>
        <w:spacing w:line="560" w:lineRule="exact"/>
        <w:ind w:left="0" w:right="0"/>
        <w:jc w:val="left"/>
        <w:textAlignment w:val="auto"/>
        <w:rPr>
          <w:rFonts w:hint="eastAsia" w:ascii="仿宋_GB2312" w:hAnsi="仿宋_GB2312" w:eastAsia="仿宋_GB2312" w:cs="仿宋_GB2312"/>
          <w:color w:val="auto"/>
          <w:sz w:val="32"/>
          <w:szCs w:val="32"/>
          <w:highlight w:val="none"/>
        </w:rPr>
      </w:pPr>
    </w:p>
    <w:p w14:paraId="7BC6135B">
      <w:pPr>
        <w:keepNext w:val="0"/>
        <w:keepLines w:val="0"/>
        <w:pageBreakBefore w:val="0"/>
        <w:widowControl w:val="0"/>
        <w:kinsoku/>
        <w:wordWrap/>
        <w:overflowPunct/>
        <w:topLinePunct w:val="0"/>
        <w:autoSpaceDE/>
        <w:autoSpaceDN/>
        <w:bidi w:val="0"/>
        <w:adjustRightInd/>
        <w:snapToGrid/>
        <w:spacing w:line="560" w:lineRule="exact"/>
        <w:ind w:left="0" w:right="0"/>
        <w:jc w:val="left"/>
        <w:textAlignment w:val="auto"/>
        <w:rPr>
          <w:rFonts w:hint="eastAsia" w:ascii="仿宋_GB2312" w:hAnsi="仿宋_GB2312" w:eastAsia="仿宋_GB2312" w:cs="仿宋_GB2312"/>
          <w:color w:val="auto"/>
          <w:sz w:val="32"/>
          <w:szCs w:val="32"/>
          <w:highlight w:val="none"/>
        </w:rPr>
      </w:pPr>
    </w:p>
    <w:p w14:paraId="6264AAE1">
      <w:pPr>
        <w:keepNext w:val="0"/>
        <w:keepLines w:val="0"/>
        <w:pageBreakBefore w:val="0"/>
        <w:widowControl w:val="0"/>
        <w:kinsoku/>
        <w:wordWrap/>
        <w:overflowPunct/>
        <w:topLinePunct w:val="0"/>
        <w:autoSpaceDE/>
        <w:autoSpaceDN/>
        <w:bidi w:val="0"/>
        <w:adjustRightInd/>
        <w:snapToGrid/>
        <w:spacing w:line="560" w:lineRule="exact"/>
        <w:ind w:right="0" w:firstLine="646"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2024年扶风县杏林镇污水处理厂运行补助资金项目绩效评价指标体系及评分表</w:t>
      </w:r>
    </w:p>
    <w:p w14:paraId="570E1DC4">
      <w:pPr>
        <w:keepNext w:val="0"/>
        <w:keepLines w:val="0"/>
        <w:pageBreakBefore w:val="0"/>
        <w:widowControl w:val="0"/>
        <w:kinsoku/>
        <w:wordWrap/>
        <w:overflowPunct/>
        <w:topLinePunct w:val="0"/>
        <w:autoSpaceDE/>
        <w:autoSpaceDN/>
        <w:bidi w:val="0"/>
        <w:adjustRightInd/>
        <w:snapToGrid/>
        <w:spacing w:line="660" w:lineRule="exact"/>
        <w:ind w:firstLine="323" w:firstLineChars="100"/>
        <w:textAlignment w:val="auto"/>
        <w:rPr>
          <w:rFonts w:hint="eastAsia" w:ascii="仿宋" w:hAnsi="仿宋" w:eastAsia="仿宋" w:cs="仿宋"/>
          <w:color w:val="auto"/>
          <w:sz w:val="32"/>
          <w:szCs w:val="32"/>
        </w:rPr>
      </w:pPr>
    </w:p>
    <w:p w14:paraId="521F4580">
      <w:pPr>
        <w:keepNext w:val="0"/>
        <w:keepLines w:val="0"/>
        <w:pageBreakBefore w:val="0"/>
        <w:widowControl w:val="0"/>
        <w:kinsoku/>
        <w:wordWrap/>
        <w:overflowPunct/>
        <w:topLinePunct w:val="0"/>
        <w:autoSpaceDE/>
        <w:autoSpaceDN/>
        <w:bidi w:val="0"/>
        <w:adjustRightInd/>
        <w:snapToGrid/>
        <w:spacing w:line="660" w:lineRule="exact"/>
        <w:ind w:firstLine="323" w:firstLineChars="100"/>
        <w:textAlignment w:val="auto"/>
        <w:rPr>
          <w:rFonts w:hint="eastAsia" w:ascii="仿宋_GB2312" w:hAnsi="宋体" w:eastAsia="仿宋_GB2312" w:cs="宋体"/>
          <w:color w:val="auto"/>
          <w:spacing w:val="0"/>
          <w:kern w:val="0"/>
          <w:sz w:val="32"/>
          <w:szCs w:val="32"/>
          <w:highlight w:val="none"/>
          <w:lang w:val="en-US" w:eastAsia="zh-CN"/>
        </w:rPr>
      </w:pPr>
      <w:r>
        <w:rPr>
          <w:rFonts w:hint="eastAsia" w:ascii="仿宋" w:hAnsi="仿宋" w:eastAsia="仿宋" w:cs="仿宋"/>
          <w:color w:val="0000FF"/>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p>
    <w:p w14:paraId="1BE91089">
      <w:pPr>
        <w:keepNext w:val="0"/>
        <w:keepLines w:val="0"/>
        <w:pageBreakBefore w:val="0"/>
        <w:widowControl w:val="0"/>
        <w:tabs>
          <w:tab w:val="left" w:pos="6300"/>
          <w:tab w:val="left" w:pos="6480"/>
          <w:tab w:val="left" w:pos="6660"/>
          <w:tab w:val="left" w:pos="7050"/>
          <w:tab w:val="left" w:pos="7200"/>
          <w:tab w:val="left" w:pos="7350"/>
        </w:tabs>
        <w:kinsoku/>
        <w:wordWrap/>
        <w:overflowPunct/>
        <w:topLinePunct w:val="0"/>
        <w:autoSpaceDE/>
        <w:autoSpaceDN/>
        <w:bidi w:val="0"/>
        <w:adjustRightInd/>
        <w:snapToGrid/>
        <w:spacing w:line="660" w:lineRule="exact"/>
        <w:ind w:right="0"/>
        <w:jc w:val="center"/>
        <w:textAlignment w:val="auto"/>
        <w:outlineLvl w:val="0"/>
        <w:rPr>
          <w:rFonts w:hint="eastAsia" w:ascii="仿宋_GB2312" w:hAnsi="宋体" w:eastAsia="仿宋_GB2312" w:cs="宋体"/>
          <w:color w:val="auto"/>
          <w:spacing w:val="0"/>
          <w:kern w:val="0"/>
          <w:sz w:val="32"/>
          <w:szCs w:val="32"/>
          <w:highlight w:val="none"/>
          <w:lang w:val="en-US" w:eastAsia="zh-CN"/>
        </w:rPr>
      </w:pPr>
    </w:p>
    <w:p w14:paraId="34621C72">
      <w:pPr>
        <w:keepNext w:val="0"/>
        <w:keepLines w:val="0"/>
        <w:pageBreakBefore w:val="0"/>
        <w:widowControl w:val="0"/>
        <w:tabs>
          <w:tab w:val="left" w:pos="6300"/>
          <w:tab w:val="left" w:pos="6480"/>
          <w:tab w:val="left" w:pos="6660"/>
          <w:tab w:val="left" w:pos="7050"/>
          <w:tab w:val="left" w:pos="7200"/>
          <w:tab w:val="left" w:pos="7350"/>
        </w:tabs>
        <w:kinsoku/>
        <w:wordWrap/>
        <w:overflowPunct/>
        <w:topLinePunct w:val="0"/>
        <w:autoSpaceDE/>
        <w:autoSpaceDN/>
        <w:bidi w:val="0"/>
        <w:adjustRightInd/>
        <w:snapToGrid/>
        <w:spacing w:line="660" w:lineRule="exact"/>
        <w:ind w:right="0"/>
        <w:jc w:val="center"/>
        <w:textAlignment w:val="auto"/>
        <w:outlineLvl w:val="0"/>
        <w:rPr>
          <w:rFonts w:hint="eastAsia" w:ascii="仿宋_GB2312" w:hAnsi="仿宋_GB2312" w:eastAsia="仿宋_GB2312" w:cs="仿宋_GB2312"/>
          <w:color w:val="auto"/>
          <w:sz w:val="32"/>
          <w:szCs w:val="32"/>
          <w:highlight w:val="none"/>
        </w:rPr>
      </w:pPr>
      <w:r>
        <w:rPr>
          <w:rFonts w:hint="eastAsia" w:ascii="仿宋_GB2312" w:hAnsi="宋体" w:eastAsia="仿宋_GB2312" w:cs="宋体"/>
          <w:color w:val="auto"/>
          <w:spacing w:val="0"/>
          <w:kern w:val="0"/>
          <w:sz w:val="32"/>
          <w:szCs w:val="32"/>
          <w:highlight w:val="none"/>
          <w:lang w:val="en-US" w:eastAsia="zh-CN"/>
        </w:rPr>
        <w:t xml:space="preserve">                    扶风县财政局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p>
    <w:p w14:paraId="023494AA">
      <w:pPr>
        <w:keepNext w:val="0"/>
        <w:keepLines w:val="0"/>
        <w:pageBreakBefore w:val="0"/>
        <w:widowControl w:val="0"/>
        <w:tabs>
          <w:tab w:val="left" w:pos="7050"/>
          <w:tab w:val="left" w:pos="7200"/>
        </w:tabs>
        <w:kinsoku/>
        <w:wordWrap/>
        <w:overflowPunct/>
        <w:topLinePunct w:val="0"/>
        <w:autoSpaceDE/>
        <w:autoSpaceDN/>
        <w:bidi w:val="0"/>
        <w:adjustRightInd/>
        <w:snapToGrid/>
        <w:spacing w:line="660" w:lineRule="exact"/>
        <w:ind w:left="0" w:leftChars="0" w:right="0" w:firstLine="646" w:firstLineChars="200"/>
        <w:jc w:val="center"/>
        <w:textAlignment w:val="auto"/>
        <w:outlineLvl w:val="0"/>
        <w:rPr>
          <w:rFonts w:hint="eastAsia"/>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日</w:t>
      </w:r>
    </w:p>
    <w:p w14:paraId="2DF3C9B3">
      <w:pPr>
        <w:outlineLvl w:val="0"/>
        <w:rPr>
          <w:rFonts w:hint="eastAsia" w:ascii="黑体" w:hAnsi="黑体" w:eastAsia="黑体" w:cs="黑体"/>
          <w:color w:val="auto"/>
          <w:sz w:val="32"/>
          <w:szCs w:val="32"/>
          <w:highlight w:val="none"/>
        </w:rPr>
        <w:sectPr>
          <w:headerReference r:id="rId6" w:type="first"/>
          <w:footerReference r:id="rId8" w:type="first"/>
          <w:headerReference r:id="rId5" w:type="default"/>
          <w:footerReference r:id="rId7" w:type="default"/>
          <w:pgSz w:w="11906" w:h="16838"/>
          <w:pgMar w:top="1417" w:right="1559" w:bottom="1417" w:left="1701" w:header="851" w:footer="992" w:gutter="0"/>
          <w:pgBorders>
            <w:top w:val="none" w:sz="0" w:space="0"/>
            <w:left w:val="none" w:sz="0" w:space="0"/>
            <w:bottom w:val="none" w:sz="0" w:space="0"/>
            <w:right w:val="none" w:sz="0" w:space="0"/>
          </w:pgBorders>
          <w:pgNumType w:fmt="decimal" w:start="1"/>
          <w:cols w:space="720" w:num="1"/>
          <w:titlePg/>
          <w:rtlGutter w:val="0"/>
          <w:docGrid w:type="linesAndChars" w:linePitch="327" w:charSpace="625"/>
        </w:sectPr>
      </w:pPr>
    </w:p>
    <w:p w14:paraId="48801CDB">
      <w:pPr>
        <w:outlineLvl w:val="0"/>
        <w:rPr>
          <w:rFonts w:hint="eastAsia" w:eastAsia="黑体"/>
          <w:b/>
          <w:bCs/>
          <w:sz w:val="32"/>
          <w:szCs w:val="32"/>
          <w:lang w:eastAsia="zh-CN"/>
        </w:rPr>
      </w:pPr>
      <w:r>
        <w:rPr>
          <w:rFonts w:hint="eastAsia" w:ascii="黑体" w:hAnsi="黑体" w:eastAsia="黑体" w:cs="黑体"/>
          <w:color w:val="auto"/>
          <w:sz w:val="32"/>
          <w:szCs w:val="32"/>
          <w:highlight w:val="none"/>
        </w:rPr>
        <w:t>附件</w:t>
      </w:r>
    </w:p>
    <w:p w14:paraId="06FA8FDC">
      <w:pPr>
        <w:pStyle w:val="8"/>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2024年</w:t>
      </w:r>
      <w:r>
        <w:rPr>
          <w:rFonts w:hint="eastAsia" w:ascii="仿宋_GB2312" w:hAnsi="仿宋_GB2312" w:eastAsia="仿宋_GB2312" w:cs="仿宋_GB2312"/>
          <w:b w:val="0"/>
          <w:bCs w:val="0"/>
          <w:sz w:val="32"/>
          <w:szCs w:val="32"/>
          <w:lang w:val="en-US" w:eastAsia="zh-CN"/>
        </w:rPr>
        <w:t>扶风县杏林镇污水处理厂运行补助资金项目</w:t>
      </w:r>
      <w:r>
        <w:rPr>
          <w:rFonts w:hint="eastAsia" w:ascii="仿宋_GB2312" w:hAnsi="仿宋_GB2312" w:eastAsia="仿宋_GB2312" w:cs="仿宋_GB2312"/>
          <w:b w:val="0"/>
          <w:bCs w:val="0"/>
          <w:sz w:val="32"/>
          <w:szCs w:val="32"/>
          <w:lang w:eastAsia="zh-CN"/>
        </w:rPr>
        <w:t>绩</w:t>
      </w:r>
      <w:r>
        <w:rPr>
          <w:rFonts w:hint="eastAsia" w:ascii="仿宋_GB2312" w:hAnsi="仿宋_GB2312" w:eastAsia="仿宋_GB2312" w:cs="仿宋_GB2312"/>
          <w:b w:val="0"/>
          <w:bCs w:val="0"/>
          <w:sz w:val="32"/>
          <w:szCs w:val="32"/>
        </w:rPr>
        <w:t>效评价指标体系及</w:t>
      </w:r>
      <w:r>
        <w:rPr>
          <w:rFonts w:hint="eastAsia" w:ascii="仿宋_GB2312" w:hAnsi="仿宋_GB2312" w:eastAsia="仿宋_GB2312" w:cs="仿宋_GB2312"/>
          <w:b w:val="0"/>
          <w:bCs w:val="0"/>
          <w:sz w:val="32"/>
          <w:szCs w:val="32"/>
          <w:lang w:val="en-US" w:eastAsia="zh-CN"/>
        </w:rPr>
        <w:t>评</w:t>
      </w:r>
      <w:r>
        <w:rPr>
          <w:rFonts w:hint="eastAsia" w:ascii="仿宋_GB2312" w:hAnsi="仿宋_GB2312" w:eastAsia="仿宋_GB2312" w:cs="仿宋_GB2312"/>
          <w:b w:val="0"/>
          <w:bCs w:val="0"/>
          <w:sz w:val="32"/>
          <w:szCs w:val="32"/>
        </w:rPr>
        <w:t>分表</w:t>
      </w:r>
    </w:p>
    <w:tbl>
      <w:tblPr>
        <w:tblStyle w:val="15"/>
        <w:tblW w:w="149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958"/>
        <w:gridCol w:w="1314"/>
        <w:gridCol w:w="7843"/>
        <w:gridCol w:w="1092"/>
        <w:gridCol w:w="1112"/>
        <w:gridCol w:w="1953"/>
      </w:tblGrid>
      <w:tr w14:paraId="3B7A5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blHeader/>
          <w:jc w:val="center"/>
        </w:trPr>
        <w:tc>
          <w:tcPr>
            <w:tcW w:w="68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07D65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一级</w:t>
            </w:r>
            <w:r>
              <w:rPr>
                <w:rFonts w:hint="eastAsia" w:ascii="仿宋_GB2312" w:hAnsi="仿宋_GB2312" w:eastAsia="仿宋_GB2312" w:cs="仿宋_GB2312"/>
                <w:b/>
                <w:bCs/>
                <w:i w:val="0"/>
                <w:iCs w:val="0"/>
                <w:color w:val="000000"/>
                <w:kern w:val="0"/>
                <w:sz w:val="20"/>
                <w:szCs w:val="20"/>
                <w:u w:val="none"/>
                <w:lang w:val="en-US" w:eastAsia="zh-CN" w:bidi="ar"/>
              </w:rPr>
              <w:br w:type="textWrapping"/>
            </w:r>
            <w:r>
              <w:rPr>
                <w:rFonts w:hint="eastAsia" w:ascii="仿宋_GB2312" w:hAnsi="仿宋_GB2312" w:eastAsia="仿宋_GB2312" w:cs="仿宋_GB2312"/>
                <w:b/>
                <w:bCs/>
                <w:i w:val="0"/>
                <w:iCs w:val="0"/>
                <w:color w:val="000000"/>
                <w:kern w:val="0"/>
                <w:sz w:val="20"/>
                <w:szCs w:val="20"/>
                <w:u w:val="none"/>
                <w:lang w:val="en-US" w:eastAsia="zh-CN" w:bidi="ar"/>
              </w:rPr>
              <w:t>指标</w:t>
            </w:r>
          </w:p>
        </w:tc>
        <w:tc>
          <w:tcPr>
            <w:tcW w:w="95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58ED2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二级</w:t>
            </w:r>
            <w:r>
              <w:rPr>
                <w:rFonts w:hint="eastAsia" w:ascii="仿宋_GB2312" w:hAnsi="仿宋_GB2312" w:eastAsia="仿宋_GB2312" w:cs="仿宋_GB2312"/>
                <w:b/>
                <w:bCs/>
                <w:i w:val="0"/>
                <w:iCs w:val="0"/>
                <w:color w:val="000000"/>
                <w:kern w:val="0"/>
                <w:sz w:val="20"/>
                <w:szCs w:val="20"/>
                <w:u w:val="none"/>
                <w:lang w:val="en-US" w:eastAsia="zh-CN" w:bidi="ar"/>
              </w:rPr>
              <w:br w:type="textWrapping"/>
            </w:r>
            <w:r>
              <w:rPr>
                <w:rFonts w:hint="eastAsia" w:ascii="仿宋_GB2312" w:hAnsi="仿宋_GB2312" w:eastAsia="仿宋_GB2312" w:cs="仿宋_GB2312"/>
                <w:b/>
                <w:bCs/>
                <w:i w:val="0"/>
                <w:iCs w:val="0"/>
                <w:color w:val="000000"/>
                <w:kern w:val="0"/>
                <w:sz w:val="20"/>
                <w:szCs w:val="20"/>
                <w:u w:val="none"/>
                <w:lang w:val="en-US" w:eastAsia="zh-CN" w:bidi="ar"/>
              </w:rPr>
              <w:t>指标</w:t>
            </w:r>
          </w:p>
        </w:tc>
        <w:tc>
          <w:tcPr>
            <w:tcW w:w="131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52797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三级</w:t>
            </w:r>
            <w:r>
              <w:rPr>
                <w:rFonts w:hint="eastAsia" w:ascii="仿宋_GB2312" w:hAnsi="仿宋_GB2312" w:eastAsia="仿宋_GB2312" w:cs="仿宋_GB2312"/>
                <w:b/>
                <w:bCs/>
                <w:i w:val="0"/>
                <w:iCs w:val="0"/>
                <w:color w:val="000000"/>
                <w:kern w:val="0"/>
                <w:sz w:val="20"/>
                <w:szCs w:val="20"/>
                <w:u w:val="none"/>
                <w:lang w:val="en-US" w:eastAsia="zh-CN" w:bidi="ar"/>
              </w:rPr>
              <w:br w:type="textWrapping"/>
            </w:r>
            <w:r>
              <w:rPr>
                <w:rFonts w:hint="eastAsia" w:ascii="仿宋_GB2312" w:hAnsi="仿宋_GB2312" w:eastAsia="仿宋_GB2312" w:cs="仿宋_GB2312"/>
                <w:b/>
                <w:bCs/>
                <w:i w:val="0"/>
                <w:iCs w:val="0"/>
                <w:color w:val="000000"/>
                <w:kern w:val="0"/>
                <w:sz w:val="20"/>
                <w:szCs w:val="20"/>
                <w:u w:val="none"/>
                <w:lang w:val="en-US" w:eastAsia="zh-CN" w:bidi="ar"/>
              </w:rPr>
              <w:t>指标</w:t>
            </w:r>
          </w:p>
        </w:tc>
        <w:tc>
          <w:tcPr>
            <w:tcW w:w="78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21D563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三级指标评分标准</w:t>
            </w:r>
          </w:p>
        </w:tc>
        <w:tc>
          <w:tcPr>
            <w:tcW w:w="109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DC97F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三级指标分值权重</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C17E3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三级指标评价得分</w:t>
            </w:r>
          </w:p>
        </w:tc>
        <w:tc>
          <w:tcPr>
            <w:tcW w:w="195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D5747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扣分原因</w:t>
            </w:r>
          </w:p>
        </w:tc>
      </w:tr>
      <w:tr w14:paraId="7CA9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jc w:val="center"/>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A38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决策</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12分</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B3A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立项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55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立项依据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充分性</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BA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①项目立项符合国家法律法规、国民经济发展规划和相关政策，得0.5分；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②项目立项符合行业发展规划和政策要求，得0.5分；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③项目立项与部门职责范围相符，属于部门履职所必需，得0.5分；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④项目属于公共财政支持范围，符合中央、地方事权支出责任划分原则，得0.5分。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4D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51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top"/>
          </w:tcPr>
          <w:p w14:paraId="5D1C6E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15E71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FCAF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7AE5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C1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立项程序</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规范性</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D7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①项目按照规定的程序申请设立，得0.5分；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②审批文件、材料符合相关要求，得0.5分；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③项目有完整可行的实施方案或相关报告，得0.5分；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④事前已经过必要的研究、论证、风险评估、绩效评估、集体决策，得0.5分。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78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E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top"/>
          </w:tcPr>
          <w:p w14:paraId="1C9307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25FE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F05D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C56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目标</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07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绩效目标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合理性</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66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18"/>
                <w:szCs w:val="18"/>
                <w:u w:val="none"/>
              </w:rPr>
            </w:pPr>
            <w:r>
              <w:rPr>
                <w:rStyle w:val="20"/>
                <w:rFonts w:hint="eastAsia" w:ascii="仿宋_GB2312" w:hAnsi="仿宋_GB2312" w:eastAsia="仿宋_GB2312" w:cs="仿宋_GB2312"/>
                <w:lang w:val="en-US" w:eastAsia="zh-CN" w:bidi="ar"/>
              </w:rPr>
              <w:t>①符合国家相关法律法规和中省市县党委政府决策得0.5分；</w:t>
            </w:r>
            <w:r>
              <w:rPr>
                <w:rStyle w:val="20"/>
                <w:rFonts w:hint="eastAsia" w:ascii="仿宋_GB2312" w:hAnsi="仿宋_GB2312" w:eastAsia="仿宋_GB2312" w:cs="仿宋_GB2312"/>
                <w:lang w:val="en-US" w:eastAsia="zh-CN" w:bidi="ar"/>
              </w:rPr>
              <w:br w:type="textWrapping"/>
            </w:r>
            <w:r>
              <w:rPr>
                <w:rStyle w:val="20"/>
                <w:rFonts w:hint="eastAsia" w:ascii="仿宋_GB2312" w:hAnsi="仿宋_GB2312" w:eastAsia="仿宋_GB2312" w:cs="仿宋_GB2312"/>
                <w:lang w:val="en-US" w:eastAsia="zh-CN" w:bidi="ar"/>
              </w:rPr>
              <w:t>②与项目实施单位职责密切相关得0.5分；</w:t>
            </w:r>
            <w:r>
              <w:rPr>
                <w:rStyle w:val="20"/>
                <w:rFonts w:hint="eastAsia" w:ascii="仿宋_GB2312" w:hAnsi="仿宋_GB2312" w:eastAsia="仿宋_GB2312" w:cs="仿宋_GB2312"/>
                <w:lang w:val="en-US" w:eastAsia="zh-CN" w:bidi="ar"/>
              </w:rPr>
              <w:br w:type="textWrapping"/>
            </w:r>
            <w:r>
              <w:rPr>
                <w:rStyle w:val="21"/>
                <w:rFonts w:hint="eastAsia" w:ascii="仿宋_GB2312" w:hAnsi="仿宋_GB2312" w:eastAsia="仿宋_GB2312" w:cs="仿宋_GB2312"/>
                <w:color w:val="auto"/>
                <w:lang w:val="en-US" w:eastAsia="zh-CN" w:bidi="ar"/>
              </w:rPr>
              <w:t>③项目</w:t>
            </w:r>
            <w:r>
              <w:rPr>
                <w:rStyle w:val="20"/>
                <w:rFonts w:hint="eastAsia" w:ascii="仿宋_GB2312" w:hAnsi="仿宋_GB2312" w:eastAsia="仿宋_GB2312" w:cs="仿宋_GB2312"/>
                <w:lang w:val="en-US" w:eastAsia="zh-CN" w:bidi="ar"/>
              </w:rPr>
              <w:t>是为保障杏林镇污水处理厂稳定运行所必</w:t>
            </w:r>
            <w:r>
              <w:rPr>
                <w:rStyle w:val="21"/>
                <w:rFonts w:hint="eastAsia" w:ascii="仿宋_GB2312" w:hAnsi="仿宋_GB2312" w:eastAsia="仿宋_GB2312" w:cs="仿宋_GB2312"/>
                <w:color w:val="auto"/>
                <w:lang w:val="en-US" w:eastAsia="zh-CN" w:bidi="ar"/>
              </w:rPr>
              <w:t>需，得0.5分；</w:t>
            </w:r>
            <w:r>
              <w:rPr>
                <w:rStyle w:val="20"/>
                <w:rFonts w:hint="eastAsia" w:ascii="仿宋_GB2312" w:hAnsi="仿宋_GB2312" w:eastAsia="仿宋_GB2312" w:cs="仿宋_GB2312"/>
                <w:lang w:val="en-US" w:eastAsia="zh-CN" w:bidi="ar"/>
              </w:rPr>
              <w:br w:type="textWrapping"/>
            </w:r>
            <w:r>
              <w:rPr>
                <w:rStyle w:val="20"/>
                <w:rFonts w:hint="eastAsia" w:ascii="仿宋_GB2312" w:hAnsi="仿宋_GB2312" w:eastAsia="仿宋_GB2312" w:cs="仿宋_GB2312"/>
                <w:lang w:val="en-US" w:eastAsia="zh-CN" w:bidi="ar"/>
              </w:rPr>
              <w:t>④项目预期目标是否符合客观实际，能够在一定期限内如期实现，得0.5分。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2E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62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B8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效益指标设置不够全面、合理。</w:t>
            </w:r>
          </w:p>
        </w:tc>
      </w:tr>
      <w:tr w14:paraId="2008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0FC4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EA51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52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绩效指标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明确性</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8A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①项目按照绩效目标申报表模板要求填报，得0.5分；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②绩效目标通过清晰、可量化的指标体现，得0.5分；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③绩效目标与项目年度任务数或计划数相对应，得0.5分；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④预算确定的项目与分配资金量相匹配，得0.5分。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25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D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9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效益指标设置不够明确。</w:t>
            </w:r>
          </w:p>
        </w:tc>
      </w:tr>
      <w:tr w14:paraId="691BF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099B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7DD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资金</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投入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A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预算编制</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科学性</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68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①预算编制经过科学论证，得0.5分；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②预算内容与项目内容相匹配，得0.5分；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③预算额度测算依据充分，并能按照标准编制，得0.5分；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④预算确定的项目投资额或资金量与工作任务相匹配，得0.5分。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BF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4E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F9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预算编制不够精确</w:t>
            </w:r>
          </w:p>
        </w:tc>
      </w:tr>
      <w:tr w14:paraId="7EFC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8938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3369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06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资金分配</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合理性</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7C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①预算资金分配依据充分，得1分；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②资金分配额度合理，与项目单位或地方实际相适应，得1分。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69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0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01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资金分配较合理。</w:t>
            </w:r>
          </w:p>
        </w:tc>
      </w:tr>
      <w:tr w14:paraId="51394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87" w:type="dxa"/>
            <w:vMerge w:val="restart"/>
            <w:tcBorders>
              <w:top w:val="single" w:color="000000" w:sz="4" w:space="0"/>
              <w:left w:val="single" w:color="000000" w:sz="4" w:space="0"/>
              <w:right w:val="single" w:color="000000" w:sz="4" w:space="0"/>
            </w:tcBorders>
            <w:shd w:val="clear" w:color="auto" w:fill="auto"/>
            <w:vAlign w:val="center"/>
          </w:tcPr>
          <w:p w14:paraId="137554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过程16分</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1D8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资金</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管理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23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资金到位率</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06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资金到位率a=(实际到位资金/预算资金)×100%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得分=资金到位率a×指标分值，且a＜60%不得分。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2D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76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4F6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rPr>
            </w:pPr>
          </w:p>
        </w:tc>
      </w:tr>
      <w:tr w14:paraId="6E67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687" w:type="dxa"/>
            <w:vMerge w:val="continue"/>
            <w:tcBorders>
              <w:left w:val="single" w:color="000000" w:sz="4" w:space="0"/>
              <w:right w:val="single" w:color="000000" w:sz="4" w:space="0"/>
            </w:tcBorders>
            <w:shd w:val="clear" w:color="auto" w:fill="auto"/>
            <w:vAlign w:val="center"/>
          </w:tcPr>
          <w:p w14:paraId="0C433BF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FD41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8A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0C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预算执行率a=实际支出资金/实际到位资金×100%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得分=预算执行率a×指标分值，且a＜60%不得分。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BE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3E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259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rPr>
            </w:pPr>
          </w:p>
        </w:tc>
      </w:tr>
      <w:tr w14:paraId="1D45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687" w:type="dxa"/>
            <w:vMerge w:val="continue"/>
            <w:tcBorders>
              <w:left w:val="single" w:color="000000" w:sz="4" w:space="0"/>
              <w:right w:val="single" w:color="000000" w:sz="4" w:space="0"/>
            </w:tcBorders>
            <w:shd w:val="clear" w:color="auto" w:fill="auto"/>
            <w:vAlign w:val="center"/>
          </w:tcPr>
          <w:p w14:paraId="541A444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B403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77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资金使用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合规性</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35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①符合国家财经法规和财务管理制度以及有关专项资金管理办法，得0.5分；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②资金的拨付有完整的审批程序和手续，得1分；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③符合项目预算批复或合同、以及专项资金管理办法的用途，得1分；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④按时拨付、使用资金，得0.5分；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⑤存在截留、挤占、挪用、虚列支出等情况，扣3分。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45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11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6F9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rPr>
            </w:pPr>
          </w:p>
        </w:tc>
      </w:tr>
      <w:tr w14:paraId="1585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687" w:type="dxa"/>
            <w:vMerge w:val="continue"/>
            <w:tcBorders>
              <w:left w:val="single" w:color="000000" w:sz="4" w:space="0"/>
              <w:right w:val="single" w:color="000000" w:sz="4" w:space="0"/>
            </w:tcBorders>
            <w:shd w:val="clear" w:color="auto" w:fill="auto"/>
            <w:vAlign w:val="center"/>
          </w:tcPr>
          <w:p w14:paraId="0237AA2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8D4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组织</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实施</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DB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管理制度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健全性</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A5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①已制定或具有相应的财务和业务等各项管理制度，得1分；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②财务和业务等各项管理制度合法、合规、完整，得1分；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③项目招投标工作程序规范,得1分。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D8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CF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E07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缺少财务管理制度、专项资金管理办法等。</w:t>
            </w:r>
          </w:p>
        </w:tc>
      </w:tr>
      <w:tr w14:paraId="4665F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687" w:type="dxa"/>
            <w:vMerge w:val="continue"/>
            <w:tcBorders>
              <w:left w:val="single" w:color="000000" w:sz="4" w:space="0"/>
              <w:bottom w:val="single" w:color="000000" w:sz="4" w:space="0"/>
              <w:right w:val="single" w:color="000000" w:sz="4" w:space="0"/>
            </w:tcBorders>
            <w:shd w:val="clear" w:color="auto" w:fill="auto"/>
            <w:vAlign w:val="center"/>
          </w:tcPr>
          <w:p w14:paraId="27199F9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F630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AB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制度执行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有效性</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1E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①能遵守相关法律法规和相关管理规定，考核记录规范、完整，得1分；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②项目调整及支出调整手续完备，得1分；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③项目实施单位人员条件、设备条件等是否落实到位，得0.5分；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④项目招标资料、合同书、验收或检查报告等资料齐全并及时归档，1分；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⑤项目总结（自评）及信息采集报送工作认真、内容完整、详实，得0.5分。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5E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D0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4D0C">
            <w:pPr>
              <w:keepNext w:val="0"/>
              <w:keepLines w:val="0"/>
              <w:pageBreakBefore w:val="0"/>
              <w:widowControl/>
              <w:kinsoku/>
              <w:wordWrap/>
              <w:overflowPunct/>
              <w:topLinePunct w:val="0"/>
              <w:autoSpaceDE/>
              <w:autoSpaceDN/>
              <w:bidi w:val="0"/>
              <w:adjustRightInd/>
              <w:snapToGrid/>
              <w:spacing w:line="300" w:lineRule="exact"/>
              <w:jc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一是未见项目实施单位对杏林镇污水处理厂进行日常监督及检查的相关记录资料；二是杏林镇污水处理厂的运营和日常管理有待进一步提升；三是项目总结和自评工作不够规范，内容不够详实。</w:t>
            </w:r>
          </w:p>
          <w:p w14:paraId="16A197B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rPr>
            </w:pPr>
          </w:p>
        </w:tc>
      </w:tr>
      <w:tr w14:paraId="7F80A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EE5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成本</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13分</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6C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经济</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成本</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AE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单位成本或分项成本</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节约率</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40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成本节约率=[（计划成本-实际成本）/计划成本]×100%。</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评分标准：成本节约率＜0不得分；工程建设类等相关项目成本节约率＝0按60%赋基础分（60%×指标分值），成本节约率≥5%得满分，0%-5%之间按比重赋分，得分=（60%×指标分值）+（成本节约率×8×指标分值）。其他类项目成本节约率≥0即可得满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B8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F6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7C8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项目成本节约率为负数，项目成本控制效果不佳。</w:t>
            </w:r>
          </w:p>
        </w:tc>
      </w:tr>
      <w:tr w14:paraId="3F821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5AC9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15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成本</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3F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社会发展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负作用</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8D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本指标无法量化，按评判等级赋分，分为基本实现预期控制目标、部分实现预期控制目标、实现预期控制目标程度较低三个档次，并分别按照该指标对应分值区间100%-80%（含）、80%-60%（含）、60%-0%合理确定分值。</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38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45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D99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rPr>
            </w:pPr>
          </w:p>
        </w:tc>
      </w:tr>
      <w:tr w14:paraId="48E6C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E793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51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生态环境成本</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AD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自然生态环境负作用</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16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本指标无法量化，按评判等级赋分，分为基本实现预期控制目标、部分实现预期控制目标、实现预期控制目标程度较低三个档次，并分别按照该指标对应分值区间100%-80%（含）、80%-60%（含）、60%-0%合理确定分值。</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F2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C4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2EA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rPr>
            </w:pPr>
          </w:p>
        </w:tc>
      </w:tr>
      <w:tr w14:paraId="32B59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49E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25分</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1C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数量</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EA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项目数量目标完成情况</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56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计算公式：实际完成率=（实际产出数/计划产出数）×100%。</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评分标准：实际完成率小于60%不得分；大于等于60%的按超过的比重赋分，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得分=（实际完成率-60%）/（1-60%）×指标分值。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2D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8C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06B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rPr>
            </w:pPr>
          </w:p>
        </w:tc>
      </w:tr>
      <w:tr w14:paraId="64963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7FA8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A8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质量</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A2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项目质量目标完成情况</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2F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计算公式：质量达标率=（质量达标产出数/实际产出数）×100%。</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评分标准：质量达标率小于60%不得分；大于等于60%的按超过的比重赋分，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得分=（质量达标率-60%）/（1-60%）×指标分值。                                                                 （项目验收质量合格情况、现场查验质量情况及其它相关资料）。</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9B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67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747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rPr>
            </w:pPr>
          </w:p>
        </w:tc>
      </w:tr>
      <w:tr w14:paraId="510FF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10A3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12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时效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04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项目按期</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完成情况</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A9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全部按期完成目标得5分；部分按期完成目标得4-2分（含）；按期完成目标程度较低得2-0分。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67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6B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1A1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lang w:val="en-US" w:eastAsia="zh-CN"/>
              </w:rPr>
            </w:pPr>
          </w:p>
        </w:tc>
      </w:tr>
      <w:tr w14:paraId="633F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976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效益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34分</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A6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经济</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效益</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58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促进区域经济发展情况</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FF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因本指标无法量化，按评判等级赋分，分为基本实现目标、部分实现目标、实现目标程度较低三个档次，并分别按照该指标对应分值区间100%-80%（含）、80%-60%（含）、60%-0%合理确定分值。</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E8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EA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3.6</w:t>
            </w:r>
          </w:p>
        </w:tc>
        <w:tc>
          <w:tcPr>
            <w:tcW w:w="1953" w:type="dxa"/>
            <w:vMerge w:val="restart"/>
            <w:tcBorders>
              <w:top w:val="single" w:color="000000" w:sz="4" w:space="0"/>
              <w:left w:val="single" w:color="000000" w:sz="4" w:space="0"/>
              <w:right w:val="single" w:color="000000" w:sz="4" w:space="0"/>
            </w:tcBorders>
            <w:shd w:val="clear" w:color="auto" w:fill="auto"/>
            <w:noWrap/>
            <w:vAlign w:val="center"/>
          </w:tcPr>
          <w:p w14:paraId="1A58AC73">
            <w:pPr>
              <w:keepNext w:val="0"/>
              <w:keepLines w:val="0"/>
              <w:pageBreakBefore w:val="0"/>
              <w:widowControl/>
              <w:kinsoku/>
              <w:wordWrap/>
              <w:overflowPunct/>
              <w:topLinePunct w:val="0"/>
              <w:autoSpaceDE/>
              <w:autoSpaceDN/>
              <w:bidi w:val="0"/>
              <w:adjustRightInd/>
              <w:snapToGrid/>
              <w:spacing w:line="300" w:lineRule="exact"/>
              <w:jc w:val="center"/>
              <w:rPr>
                <w:rFonts w:hint="default" w:ascii="仿宋_GB2312" w:hAnsi="仿宋_GB2312" w:eastAsia="仿宋_GB2312" w:cs="仿宋_GB2312"/>
                <w:b/>
                <w:bCs/>
                <w:i w:val="0"/>
                <w:iCs w:val="0"/>
                <w:color w:val="00000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bidi="ar"/>
              </w:rPr>
              <w:t>根据问卷调查结果综合赋分</w:t>
            </w:r>
          </w:p>
        </w:tc>
      </w:tr>
      <w:tr w14:paraId="1D861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ACC8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C56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效益</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E0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区域污水得到有效治理情况</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A5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因本指标无法量化，按评判等级赋分，分为基本实现目标、部分实现目标、实现目标程度较低三个档次，并分别按照该指标对应分值区间100%-80%（含）、80%-60%（含）、60%-0%合理确定分值。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F3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D8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3.6</w:t>
            </w:r>
          </w:p>
        </w:tc>
        <w:tc>
          <w:tcPr>
            <w:tcW w:w="1953" w:type="dxa"/>
            <w:vMerge w:val="continue"/>
            <w:tcBorders>
              <w:left w:val="single" w:color="000000" w:sz="4" w:space="0"/>
              <w:right w:val="single" w:color="000000" w:sz="4" w:space="0"/>
            </w:tcBorders>
            <w:shd w:val="clear" w:color="auto" w:fill="auto"/>
            <w:vAlign w:val="center"/>
          </w:tcPr>
          <w:p w14:paraId="3456A12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rPr>
            </w:pPr>
          </w:p>
        </w:tc>
      </w:tr>
      <w:tr w14:paraId="2EE98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8EFF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EE15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50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提高水资源可持续利用</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40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因本指标无法量化，按评判等级赋分，分为基本实现目标、部分实现目标、实现目标程度较低三个档次，并分别按照该指标对应分值区间100%-80%（含）、80%-60%（含）、60%-0%合理确定分值。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26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EC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3.6</w:t>
            </w:r>
          </w:p>
        </w:tc>
        <w:tc>
          <w:tcPr>
            <w:tcW w:w="1953" w:type="dxa"/>
            <w:vMerge w:val="continue"/>
            <w:tcBorders>
              <w:left w:val="single" w:color="000000" w:sz="4" w:space="0"/>
              <w:right w:val="single" w:color="000000" w:sz="4" w:space="0"/>
            </w:tcBorders>
            <w:shd w:val="clear" w:color="auto" w:fill="auto"/>
            <w:vAlign w:val="center"/>
          </w:tcPr>
          <w:p w14:paraId="09496C3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rPr>
            </w:pPr>
          </w:p>
        </w:tc>
      </w:tr>
      <w:tr w14:paraId="0F7F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3417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01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效益</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AA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持续改善自然生态环境</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1A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因本指标无法量化，按评判等级赋分，分为基本实现目标、部分实现目标、实现目标程度较低三个档次，并分别按照该指标对应分值区间100%-80%（含）、80%-60%（含）、60%-0%合理确定分值。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41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16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4.5</w:t>
            </w:r>
          </w:p>
        </w:tc>
        <w:tc>
          <w:tcPr>
            <w:tcW w:w="1953" w:type="dxa"/>
            <w:vMerge w:val="continue"/>
            <w:tcBorders>
              <w:left w:val="single" w:color="000000" w:sz="4" w:space="0"/>
              <w:right w:val="single" w:color="000000" w:sz="4" w:space="0"/>
            </w:tcBorders>
            <w:shd w:val="clear" w:color="auto" w:fill="auto"/>
            <w:vAlign w:val="center"/>
          </w:tcPr>
          <w:p w14:paraId="62B91AD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rPr>
            </w:pPr>
          </w:p>
        </w:tc>
      </w:tr>
      <w:tr w14:paraId="1F64A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30C9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2D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可持续</w:t>
            </w:r>
          </w:p>
          <w:p w14:paraId="562A20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影响</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BA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后期管护及长效运营保障机制建设情况</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E8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因本指标无法量化，按评判等级赋分，分为基本实现目标、部分实现目标、实现目标程度较低三个档次，并分别按照该指标对应分值区间100%-80%（含）、80%-60%（含）、60%-0%合理确定分值。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DF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27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3.6</w:t>
            </w:r>
          </w:p>
        </w:tc>
        <w:tc>
          <w:tcPr>
            <w:tcW w:w="1953" w:type="dxa"/>
            <w:vMerge w:val="continue"/>
            <w:tcBorders>
              <w:left w:val="single" w:color="000000" w:sz="4" w:space="0"/>
              <w:bottom w:val="single" w:color="000000" w:sz="4" w:space="0"/>
              <w:right w:val="single" w:color="000000" w:sz="4" w:space="0"/>
            </w:tcBorders>
            <w:shd w:val="clear" w:color="auto" w:fill="auto"/>
            <w:noWrap/>
            <w:vAlign w:val="center"/>
          </w:tcPr>
          <w:p w14:paraId="14DE8D2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lang w:val="en-US" w:eastAsia="zh-CN"/>
              </w:rPr>
            </w:pPr>
          </w:p>
        </w:tc>
      </w:tr>
      <w:tr w14:paraId="4B4D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C5D4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A1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受表彰</w:t>
            </w:r>
          </w:p>
          <w:p w14:paraId="33D959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情况</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37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是否受到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上级表彰</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9D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①项目相关工作受到国家级表彰奖励得3分；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②项目相关工作受到省级表彰奖励得2分；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③项目相关工作受到市级表彰奖励得1分；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④未受到表彰奖励不得分。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2C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68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B21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bidi="ar"/>
              </w:rPr>
              <w:t>2024年未受到市级及以上表彰奖励。</w:t>
            </w:r>
          </w:p>
        </w:tc>
      </w:tr>
      <w:tr w14:paraId="5571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21D1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39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服务对象   满意度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6B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bidi="ar"/>
              </w:rPr>
              <w:t>社会公众及服务对象认可度和满意度</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6F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bidi="ar"/>
              </w:rPr>
              <w:t>根据问卷调查情况综合赋分。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CF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D0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9.23</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9350">
            <w:pPr>
              <w:keepNext w:val="0"/>
              <w:keepLines w:val="0"/>
              <w:pageBreakBefore w:val="0"/>
              <w:widowControl/>
              <w:kinsoku/>
              <w:wordWrap/>
              <w:overflowPunct/>
              <w:topLinePunct w:val="0"/>
              <w:autoSpaceDE/>
              <w:autoSpaceDN/>
              <w:bidi w:val="0"/>
              <w:adjustRightInd/>
              <w:snapToGrid/>
              <w:spacing w:line="300" w:lineRule="exact"/>
              <w:jc w:val="center"/>
              <w:rPr>
                <w:rFonts w:hint="default" w:ascii="仿宋_GB2312" w:hAnsi="仿宋_GB2312" w:eastAsia="仿宋_GB2312" w:cs="仿宋_GB2312"/>
                <w:b/>
                <w:bCs/>
                <w:i w:val="0"/>
                <w:iCs w:val="0"/>
                <w:color w:val="00000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bidi="ar"/>
              </w:rPr>
              <w:t>满意度约为92.30%</w:t>
            </w:r>
          </w:p>
        </w:tc>
      </w:tr>
      <w:tr w14:paraId="5FEF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89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总分</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59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100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801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63F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C5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0F6A">
            <w:pPr>
              <w:keepNext w:val="0"/>
              <w:keepLines w:val="0"/>
              <w:pageBreakBefore w:val="0"/>
              <w:widowControl/>
              <w:kinsoku/>
              <w:wordWrap/>
              <w:overflowPunct/>
              <w:topLinePunct w:val="0"/>
              <w:autoSpaceDE/>
              <w:autoSpaceDN/>
              <w:bidi w:val="0"/>
              <w:adjustRightInd/>
              <w:snapToGrid/>
              <w:spacing w:line="300" w:lineRule="exact"/>
              <w:jc w:val="center"/>
              <w:rPr>
                <w:rFonts w:hint="default"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85.93</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587B">
            <w:pPr>
              <w:keepNext w:val="0"/>
              <w:keepLines w:val="0"/>
              <w:pageBreakBefore w:val="0"/>
              <w:widowControl/>
              <w:kinsoku/>
              <w:wordWrap/>
              <w:overflowPunct/>
              <w:topLinePunct w:val="0"/>
              <w:autoSpaceDE/>
              <w:autoSpaceDN/>
              <w:bidi w:val="0"/>
              <w:adjustRightInd/>
              <w:snapToGrid/>
              <w:spacing w:line="300" w:lineRule="exact"/>
              <w:jc w:val="center"/>
              <w:rPr>
                <w:rFonts w:hint="default" w:ascii="仿宋_GB2312" w:hAnsi="仿宋_GB2312" w:eastAsia="仿宋_GB2312" w:cs="仿宋_GB2312"/>
                <w:b/>
                <w:bCs/>
                <w:i w:val="0"/>
                <w:iCs w:val="0"/>
                <w:color w:val="000000"/>
                <w:sz w:val="18"/>
                <w:szCs w:val="18"/>
                <w:u w:val="none"/>
                <w:lang w:val="en-US" w:eastAsia="zh-CN"/>
              </w:rPr>
            </w:pPr>
            <w:r>
              <w:rPr>
                <w:rFonts w:hint="eastAsia" w:ascii="仿宋_GB2312" w:hAnsi="仿宋_GB2312" w:eastAsia="仿宋_GB2312" w:cs="仿宋_GB2312"/>
                <w:b/>
                <w:bCs/>
                <w:i w:val="0"/>
                <w:iCs w:val="0"/>
                <w:color w:val="000000"/>
                <w:sz w:val="18"/>
                <w:szCs w:val="18"/>
                <w:u w:val="none"/>
                <w:lang w:val="en-US" w:eastAsia="zh-CN"/>
              </w:rPr>
              <w:t>-</w:t>
            </w:r>
          </w:p>
        </w:tc>
      </w:tr>
      <w:bookmarkEnd w:id="0"/>
    </w:tbl>
    <w:p w14:paraId="5C840B1D">
      <w:pPr>
        <w:outlineLvl w:val="0"/>
        <w:rPr>
          <w:rFonts w:hint="eastAsia" w:ascii="黑体" w:hAnsi="黑体" w:eastAsia="黑体" w:cs="黑体"/>
          <w:color w:val="auto"/>
          <w:sz w:val="32"/>
          <w:szCs w:val="32"/>
          <w:highlight w:val="none"/>
          <w:lang w:val="en-US" w:eastAsia="zh-CN"/>
        </w:rPr>
      </w:pPr>
    </w:p>
    <w:p w14:paraId="3A4D104B"/>
    <w:sectPr>
      <w:footerReference r:id="rId9" w:type="default"/>
      <w:pgSz w:w="16838" w:h="11906" w:orient="landscape"/>
      <w:pgMar w:top="1701" w:right="1417" w:bottom="1559"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4B1AA1F4">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6898C">
    <w:pPr>
      <w:pStyle w:val="11"/>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DD764">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9DD764">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66C14">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E84DF">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48E84DF">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BBB49">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B1ED9">
    <w:pPr>
      <w:pStyle w:val="12"/>
      <w:pBdr>
        <w:bottom w:val="single" w:color="auto" w:sz="4" w:space="1"/>
      </w:pBdr>
      <w:jc w:val="both"/>
      <w:rPr>
        <w:rFonts w:hint="eastAsia" w:ascii="仿宋" w:hAnsi="仿宋" w:eastAsia="仿宋" w:cs="仿宋"/>
        <w:sz w:val="22"/>
        <w:szCs w:val="22"/>
      </w:rPr>
    </w:pPr>
    <w:r>
      <w:rPr>
        <w:rFonts w:hint="eastAsia" w:ascii="仿宋" w:hAnsi="仿宋" w:eastAsia="仿宋" w:cs="仿宋"/>
        <w:sz w:val="22"/>
        <w:szCs w:val="22"/>
        <w:lang w:eastAsia="zh-CN"/>
      </w:rPr>
      <w:t xml:space="preserve">  2024年扶风县杏林镇污水处理厂运行补助资金项目</w:t>
    </w:r>
    <w:r>
      <w:rPr>
        <w:rFonts w:hint="eastAsia" w:ascii="仿宋" w:hAnsi="仿宋" w:eastAsia="仿宋" w:cs="仿宋"/>
        <w:sz w:val="22"/>
        <w:szCs w:val="22"/>
      </w:rPr>
      <w:t>绩效评价报告</w:t>
    </w:r>
  </w:p>
  <w:p w14:paraId="010B9181">
    <w:pPr>
      <w:pStyle w:val="1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D2F51">
    <w:pPr>
      <w:pStyle w:val="12"/>
      <w:pBdr>
        <w:top w:val="none" w:color="auto" w:sz="0" w:space="0"/>
        <w:left w:val="none" w:color="auto" w:sz="0" w:space="0"/>
        <w:bottom w:val="none" w:color="auto" w:sz="0" w:space="1"/>
        <w:right w:val="none" w:color="auto" w:sz="0" w:space="0"/>
        <w:between w:val="none" w:color="auto" w:sz="0" w:space="0"/>
      </w:pBdr>
      <w:jc w:val="both"/>
      <w:rPr>
        <w:rFonts w:hint="eastAsia"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09B90">
    <w:pPr>
      <w:pStyle w:val="12"/>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4868D">
    <w:pPr>
      <w:pStyle w:val="12"/>
      <w:pBdr>
        <w:top w:val="none" w:color="auto" w:sz="0" w:space="0"/>
        <w:left w:val="none" w:color="auto" w:sz="0" w:space="0"/>
        <w:bottom w:val="none" w:color="auto" w:sz="0" w:space="1"/>
        <w:right w:val="none" w:color="auto" w:sz="0" w:space="0"/>
        <w:between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A255C"/>
    <w:multiLevelType w:val="singleLevel"/>
    <w:tmpl w:val="85CA255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8"/>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zYmY0YWQwYjhlNjY2M2JmNWE0N2IxMjFmZWFjZWUifQ=="/>
  </w:docVars>
  <w:rsids>
    <w:rsidRoot w:val="38E37B57"/>
    <w:rsid w:val="005D620E"/>
    <w:rsid w:val="00F907CF"/>
    <w:rsid w:val="01703E3E"/>
    <w:rsid w:val="01C164C1"/>
    <w:rsid w:val="024C2375"/>
    <w:rsid w:val="026B1C72"/>
    <w:rsid w:val="02B314F6"/>
    <w:rsid w:val="02E90CD4"/>
    <w:rsid w:val="03241D96"/>
    <w:rsid w:val="034B6F8A"/>
    <w:rsid w:val="03860857"/>
    <w:rsid w:val="03AD7431"/>
    <w:rsid w:val="040E27E3"/>
    <w:rsid w:val="04306E84"/>
    <w:rsid w:val="048535B5"/>
    <w:rsid w:val="048F6049"/>
    <w:rsid w:val="049525BD"/>
    <w:rsid w:val="049B394B"/>
    <w:rsid w:val="049F64B9"/>
    <w:rsid w:val="04E35A1E"/>
    <w:rsid w:val="056C3C30"/>
    <w:rsid w:val="05C603D6"/>
    <w:rsid w:val="065273FE"/>
    <w:rsid w:val="07145BA9"/>
    <w:rsid w:val="073A295C"/>
    <w:rsid w:val="07585ABB"/>
    <w:rsid w:val="07EB4B3E"/>
    <w:rsid w:val="08041AA3"/>
    <w:rsid w:val="084A7B62"/>
    <w:rsid w:val="095073FA"/>
    <w:rsid w:val="095D1DDA"/>
    <w:rsid w:val="098179DE"/>
    <w:rsid w:val="09BB1981"/>
    <w:rsid w:val="09D77A57"/>
    <w:rsid w:val="0A25335E"/>
    <w:rsid w:val="0A362002"/>
    <w:rsid w:val="0A3A1E69"/>
    <w:rsid w:val="0A717628"/>
    <w:rsid w:val="0B6111C9"/>
    <w:rsid w:val="0B665F92"/>
    <w:rsid w:val="0C160487"/>
    <w:rsid w:val="0C346B5F"/>
    <w:rsid w:val="0CB73B2E"/>
    <w:rsid w:val="0CEB031A"/>
    <w:rsid w:val="0D6625A1"/>
    <w:rsid w:val="0D9E7AD4"/>
    <w:rsid w:val="0DBD3369"/>
    <w:rsid w:val="0DD67DB9"/>
    <w:rsid w:val="0E6422DD"/>
    <w:rsid w:val="0F22557B"/>
    <w:rsid w:val="0F405190"/>
    <w:rsid w:val="0F507EBE"/>
    <w:rsid w:val="0F830C23"/>
    <w:rsid w:val="0FF80B09"/>
    <w:rsid w:val="0FFA4ED9"/>
    <w:rsid w:val="103B18B5"/>
    <w:rsid w:val="10613C9B"/>
    <w:rsid w:val="107D01DF"/>
    <w:rsid w:val="10A2678D"/>
    <w:rsid w:val="10DC30EE"/>
    <w:rsid w:val="111F3E95"/>
    <w:rsid w:val="117607E2"/>
    <w:rsid w:val="118908B4"/>
    <w:rsid w:val="11891774"/>
    <w:rsid w:val="11A1268D"/>
    <w:rsid w:val="11C92399"/>
    <w:rsid w:val="12283E31"/>
    <w:rsid w:val="125C5B50"/>
    <w:rsid w:val="125F4768"/>
    <w:rsid w:val="127E319F"/>
    <w:rsid w:val="128B2A1F"/>
    <w:rsid w:val="12FC647F"/>
    <w:rsid w:val="12FD56A9"/>
    <w:rsid w:val="13243D49"/>
    <w:rsid w:val="13A333BA"/>
    <w:rsid w:val="13B92C15"/>
    <w:rsid w:val="13DA7A69"/>
    <w:rsid w:val="1459564C"/>
    <w:rsid w:val="157C66C3"/>
    <w:rsid w:val="15B75DDD"/>
    <w:rsid w:val="1604014D"/>
    <w:rsid w:val="16521CC1"/>
    <w:rsid w:val="16FB5B12"/>
    <w:rsid w:val="16FB658C"/>
    <w:rsid w:val="17334565"/>
    <w:rsid w:val="175B58E8"/>
    <w:rsid w:val="177366C3"/>
    <w:rsid w:val="179121A0"/>
    <w:rsid w:val="17A728DB"/>
    <w:rsid w:val="185D11EC"/>
    <w:rsid w:val="189D3448"/>
    <w:rsid w:val="18B54B84"/>
    <w:rsid w:val="18CB46F9"/>
    <w:rsid w:val="196A76A5"/>
    <w:rsid w:val="197764F6"/>
    <w:rsid w:val="19981DE6"/>
    <w:rsid w:val="19B65659"/>
    <w:rsid w:val="19F85670"/>
    <w:rsid w:val="1A5B6B54"/>
    <w:rsid w:val="1AB53561"/>
    <w:rsid w:val="1AF06347"/>
    <w:rsid w:val="1B537AC3"/>
    <w:rsid w:val="1B8308C6"/>
    <w:rsid w:val="1BBD659D"/>
    <w:rsid w:val="1BD1711E"/>
    <w:rsid w:val="1BDA4026"/>
    <w:rsid w:val="1C2344FA"/>
    <w:rsid w:val="1C2C3E62"/>
    <w:rsid w:val="1C47360A"/>
    <w:rsid w:val="1C7A6331"/>
    <w:rsid w:val="1CE64608"/>
    <w:rsid w:val="1CF674A6"/>
    <w:rsid w:val="1D0E6058"/>
    <w:rsid w:val="1D32457C"/>
    <w:rsid w:val="1D790876"/>
    <w:rsid w:val="1DE244D9"/>
    <w:rsid w:val="1E79283B"/>
    <w:rsid w:val="1E795209"/>
    <w:rsid w:val="1E9C59C4"/>
    <w:rsid w:val="1EAA2419"/>
    <w:rsid w:val="1ECC0A34"/>
    <w:rsid w:val="1EDE3B19"/>
    <w:rsid w:val="1F2E5C48"/>
    <w:rsid w:val="1F473B74"/>
    <w:rsid w:val="1F8B5B54"/>
    <w:rsid w:val="1FF163E5"/>
    <w:rsid w:val="1FF654D2"/>
    <w:rsid w:val="205E77FE"/>
    <w:rsid w:val="207F6850"/>
    <w:rsid w:val="209007BC"/>
    <w:rsid w:val="20B53735"/>
    <w:rsid w:val="20B81024"/>
    <w:rsid w:val="2186530F"/>
    <w:rsid w:val="21A02BFA"/>
    <w:rsid w:val="21AC0DA8"/>
    <w:rsid w:val="225525BF"/>
    <w:rsid w:val="22A32BCB"/>
    <w:rsid w:val="232474D6"/>
    <w:rsid w:val="23906424"/>
    <w:rsid w:val="23AB02CF"/>
    <w:rsid w:val="23B51EDC"/>
    <w:rsid w:val="23CC1893"/>
    <w:rsid w:val="242566AA"/>
    <w:rsid w:val="24D02C85"/>
    <w:rsid w:val="24E809AD"/>
    <w:rsid w:val="2500205F"/>
    <w:rsid w:val="25271FBB"/>
    <w:rsid w:val="258E077A"/>
    <w:rsid w:val="25B432C7"/>
    <w:rsid w:val="25E60C65"/>
    <w:rsid w:val="25E94029"/>
    <w:rsid w:val="25EB7AD9"/>
    <w:rsid w:val="267A73AD"/>
    <w:rsid w:val="278E3170"/>
    <w:rsid w:val="27B941DF"/>
    <w:rsid w:val="281E2746"/>
    <w:rsid w:val="281F48F8"/>
    <w:rsid w:val="28413FCC"/>
    <w:rsid w:val="292A511A"/>
    <w:rsid w:val="29332221"/>
    <w:rsid w:val="29AE2388"/>
    <w:rsid w:val="2A135BAE"/>
    <w:rsid w:val="2A3A5429"/>
    <w:rsid w:val="2A6A1FA9"/>
    <w:rsid w:val="2A732242"/>
    <w:rsid w:val="2A7B200E"/>
    <w:rsid w:val="2A9B3836"/>
    <w:rsid w:val="2AA17236"/>
    <w:rsid w:val="2B180E4B"/>
    <w:rsid w:val="2B4F5013"/>
    <w:rsid w:val="2B514D73"/>
    <w:rsid w:val="2BC76C50"/>
    <w:rsid w:val="2C2A6C44"/>
    <w:rsid w:val="2C71251A"/>
    <w:rsid w:val="2C9A4CA3"/>
    <w:rsid w:val="2CA314D5"/>
    <w:rsid w:val="2D4E779A"/>
    <w:rsid w:val="2DAA05D8"/>
    <w:rsid w:val="2DAF3ADF"/>
    <w:rsid w:val="2DE0582D"/>
    <w:rsid w:val="2E5740F7"/>
    <w:rsid w:val="2E5A3DAC"/>
    <w:rsid w:val="2E860788"/>
    <w:rsid w:val="2EAA1167"/>
    <w:rsid w:val="2EF8431D"/>
    <w:rsid w:val="2F3213C2"/>
    <w:rsid w:val="2FDF1531"/>
    <w:rsid w:val="30253ACE"/>
    <w:rsid w:val="304442CC"/>
    <w:rsid w:val="305F2FCA"/>
    <w:rsid w:val="30843362"/>
    <w:rsid w:val="30946043"/>
    <w:rsid w:val="30D64D0A"/>
    <w:rsid w:val="32285089"/>
    <w:rsid w:val="32292D99"/>
    <w:rsid w:val="3236586A"/>
    <w:rsid w:val="32874A67"/>
    <w:rsid w:val="32AC0C15"/>
    <w:rsid w:val="32FD2D70"/>
    <w:rsid w:val="33557238"/>
    <w:rsid w:val="335E60EC"/>
    <w:rsid w:val="342C7F98"/>
    <w:rsid w:val="346E1C6B"/>
    <w:rsid w:val="348E4FC7"/>
    <w:rsid w:val="350B2B3B"/>
    <w:rsid w:val="351D6B4F"/>
    <w:rsid w:val="35470E02"/>
    <w:rsid w:val="35B87254"/>
    <w:rsid w:val="36733381"/>
    <w:rsid w:val="367B52F9"/>
    <w:rsid w:val="36B819B2"/>
    <w:rsid w:val="36BD312A"/>
    <w:rsid w:val="372212DB"/>
    <w:rsid w:val="37501BE6"/>
    <w:rsid w:val="37B9651E"/>
    <w:rsid w:val="37E42938"/>
    <w:rsid w:val="37F46DD4"/>
    <w:rsid w:val="38085751"/>
    <w:rsid w:val="383832E4"/>
    <w:rsid w:val="3843720B"/>
    <w:rsid w:val="3853296E"/>
    <w:rsid w:val="38541A45"/>
    <w:rsid w:val="387B2DA9"/>
    <w:rsid w:val="3881462B"/>
    <w:rsid w:val="38894D34"/>
    <w:rsid w:val="388B14B0"/>
    <w:rsid w:val="38912AB4"/>
    <w:rsid w:val="38E37B57"/>
    <w:rsid w:val="39023D76"/>
    <w:rsid w:val="39855462"/>
    <w:rsid w:val="3A097516"/>
    <w:rsid w:val="3A184582"/>
    <w:rsid w:val="3ABD3FE4"/>
    <w:rsid w:val="3AD66EB0"/>
    <w:rsid w:val="3B4E45C6"/>
    <w:rsid w:val="3B5B7196"/>
    <w:rsid w:val="3B9613C6"/>
    <w:rsid w:val="3BB17663"/>
    <w:rsid w:val="3BBA51B1"/>
    <w:rsid w:val="3C2800B9"/>
    <w:rsid w:val="3C2F5621"/>
    <w:rsid w:val="3C347543"/>
    <w:rsid w:val="3CEC1573"/>
    <w:rsid w:val="3D682CB1"/>
    <w:rsid w:val="3DE218F9"/>
    <w:rsid w:val="3E173A67"/>
    <w:rsid w:val="3E2A5099"/>
    <w:rsid w:val="3F7F1D7B"/>
    <w:rsid w:val="3F8A6905"/>
    <w:rsid w:val="3FE536F1"/>
    <w:rsid w:val="40214F87"/>
    <w:rsid w:val="40BA3CF6"/>
    <w:rsid w:val="40CE4A65"/>
    <w:rsid w:val="40E53B71"/>
    <w:rsid w:val="40EC34FB"/>
    <w:rsid w:val="4108712E"/>
    <w:rsid w:val="41131534"/>
    <w:rsid w:val="41166C56"/>
    <w:rsid w:val="41760C15"/>
    <w:rsid w:val="41765BE9"/>
    <w:rsid w:val="41C11F06"/>
    <w:rsid w:val="43040CA0"/>
    <w:rsid w:val="431E222E"/>
    <w:rsid w:val="43E77850"/>
    <w:rsid w:val="44831414"/>
    <w:rsid w:val="44BC677F"/>
    <w:rsid w:val="44E0528D"/>
    <w:rsid w:val="452D64A5"/>
    <w:rsid w:val="453E3FCF"/>
    <w:rsid w:val="45431E62"/>
    <w:rsid w:val="454A2974"/>
    <w:rsid w:val="456353A5"/>
    <w:rsid w:val="458B6AE9"/>
    <w:rsid w:val="45AC1DC5"/>
    <w:rsid w:val="4639468D"/>
    <w:rsid w:val="464645A6"/>
    <w:rsid w:val="46A2612B"/>
    <w:rsid w:val="47A92AD9"/>
    <w:rsid w:val="47E24334"/>
    <w:rsid w:val="480907DA"/>
    <w:rsid w:val="492741B5"/>
    <w:rsid w:val="4977642A"/>
    <w:rsid w:val="49DD310F"/>
    <w:rsid w:val="49FD1143"/>
    <w:rsid w:val="4ACB0DBA"/>
    <w:rsid w:val="4ADE0A79"/>
    <w:rsid w:val="4AEA73C7"/>
    <w:rsid w:val="4AEF4FF9"/>
    <w:rsid w:val="4B104386"/>
    <w:rsid w:val="4B182BCD"/>
    <w:rsid w:val="4B271495"/>
    <w:rsid w:val="4B2E25F0"/>
    <w:rsid w:val="4B3D3F04"/>
    <w:rsid w:val="4BF76C86"/>
    <w:rsid w:val="4C3D2F82"/>
    <w:rsid w:val="4C426FF4"/>
    <w:rsid w:val="4C686C29"/>
    <w:rsid w:val="4C89719B"/>
    <w:rsid w:val="4CC17D34"/>
    <w:rsid w:val="4D06670B"/>
    <w:rsid w:val="4D244A0A"/>
    <w:rsid w:val="4D6169CA"/>
    <w:rsid w:val="4DC349EC"/>
    <w:rsid w:val="4DF0398D"/>
    <w:rsid w:val="4E34306D"/>
    <w:rsid w:val="4E6F6FA8"/>
    <w:rsid w:val="4E8312E3"/>
    <w:rsid w:val="4E99153D"/>
    <w:rsid w:val="4EF34769"/>
    <w:rsid w:val="4F10017E"/>
    <w:rsid w:val="4F38754A"/>
    <w:rsid w:val="4FCB16E8"/>
    <w:rsid w:val="4FD9679A"/>
    <w:rsid w:val="4FE97731"/>
    <w:rsid w:val="4FEB7203"/>
    <w:rsid w:val="50387B9B"/>
    <w:rsid w:val="50E41142"/>
    <w:rsid w:val="5223590C"/>
    <w:rsid w:val="522C01EC"/>
    <w:rsid w:val="529842AD"/>
    <w:rsid w:val="52B24B7C"/>
    <w:rsid w:val="53604AC7"/>
    <w:rsid w:val="53807561"/>
    <w:rsid w:val="53CC43C2"/>
    <w:rsid w:val="540A4497"/>
    <w:rsid w:val="54916C80"/>
    <w:rsid w:val="54AB6E1D"/>
    <w:rsid w:val="54F8488B"/>
    <w:rsid w:val="558E0900"/>
    <w:rsid w:val="55D55483"/>
    <w:rsid w:val="55E30278"/>
    <w:rsid w:val="55EA0E79"/>
    <w:rsid w:val="563913D0"/>
    <w:rsid w:val="56C1301B"/>
    <w:rsid w:val="577E7581"/>
    <w:rsid w:val="57BC25DA"/>
    <w:rsid w:val="57C0647C"/>
    <w:rsid w:val="57CF60C1"/>
    <w:rsid w:val="586C27AA"/>
    <w:rsid w:val="588F7E7B"/>
    <w:rsid w:val="58B16DE5"/>
    <w:rsid w:val="58CB74D0"/>
    <w:rsid w:val="58E03358"/>
    <w:rsid w:val="5910162D"/>
    <w:rsid w:val="595446AB"/>
    <w:rsid w:val="598C3104"/>
    <w:rsid w:val="59BE38A4"/>
    <w:rsid w:val="59C575D2"/>
    <w:rsid w:val="59D535CE"/>
    <w:rsid w:val="59DD749F"/>
    <w:rsid w:val="5B097FC8"/>
    <w:rsid w:val="5B894DF7"/>
    <w:rsid w:val="5C0B35A8"/>
    <w:rsid w:val="5C2B3F8B"/>
    <w:rsid w:val="5C593ADC"/>
    <w:rsid w:val="5C9F4678"/>
    <w:rsid w:val="5CF05884"/>
    <w:rsid w:val="5D92680F"/>
    <w:rsid w:val="5DB12741"/>
    <w:rsid w:val="5DEE2CB2"/>
    <w:rsid w:val="5EB02CCE"/>
    <w:rsid w:val="5F2B6976"/>
    <w:rsid w:val="5F2E2B9C"/>
    <w:rsid w:val="5F4811B5"/>
    <w:rsid w:val="5F675F20"/>
    <w:rsid w:val="5F772160"/>
    <w:rsid w:val="5F9D1FE4"/>
    <w:rsid w:val="5FD05A6B"/>
    <w:rsid w:val="5FEB6E99"/>
    <w:rsid w:val="5FF81100"/>
    <w:rsid w:val="60594F55"/>
    <w:rsid w:val="60E3123E"/>
    <w:rsid w:val="61225B1E"/>
    <w:rsid w:val="618F6DDA"/>
    <w:rsid w:val="61AF27DD"/>
    <w:rsid w:val="621A29E9"/>
    <w:rsid w:val="62294DF3"/>
    <w:rsid w:val="62463054"/>
    <w:rsid w:val="62493FAF"/>
    <w:rsid w:val="62A66EC4"/>
    <w:rsid w:val="62D84AB5"/>
    <w:rsid w:val="62DB7504"/>
    <w:rsid w:val="62F37D50"/>
    <w:rsid w:val="632366B5"/>
    <w:rsid w:val="63752548"/>
    <w:rsid w:val="64835103"/>
    <w:rsid w:val="64B35EE6"/>
    <w:rsid w:val="64DB07C0"/>
    <w:rsid w:val="64DD4813"/>
    <w:rsid w:val="64E643A7"/>
    <w:rsid w:val="65BF03BD"/>
    <w:rsid w:val="669B2BD8"/>
    <w:rsid w:val="66F425DE"/>
    <w:rsid w:val="66F87545"/>
    <w:rsid w:val="67021AF2"/>
    <w:rsid w:val="671812FC"/>
    <w:rsid w:val="677156E7"/>
    <w:rsid w:val="67DE01E0"/>
    <w:rsid w:val="67FF7197"/>
    <w:rsid w:val="68270E62"/>
    <w:rsid w:val="686D6CFB"/>
    <w:rsid w:val="68FB5803"/>
    <w:rsid w:val="691065BE"/>
    <w:rsid w:val="693D5641"/>
    <w:rsid w:val="69406CF0"/>
    <w:rsid w:val="69782FE8"/>
    <w:rsid w:val="69A02046"/>
    <w:rsid w:val="69AA28C2"/>
    <w:rsid w:val="69D1346D"/>
    <w:rsid w:val="6A03161B"/>
    <w:rsid w:val="6A2513CF"/>
    <w:rsid w:val="6A7554EE"/>
    <w:rsid w:val="6ACA3CA1"/>
    <w:rsid w:val="6B323E52"/>
    <w:rsid w:val="6B4649F7"/>
    <w:rsid w:val="6B9A16B0"/>
    <w:rsid w:val="6BB9765C"/>
    <w:rsid w:val="6BC95AF1"/>
    <w:rsid w:val="6C2C381B"/>
    <w:rsid w:val="6C360CAD"/>
    <w:rsid w:val="6C740FEF"/>
    <w:rsid w:val="6CA513FC"/>
    <w:rsid w:val="6D003795"/>
    <w:rsid w:val="6D197AEA"/>
    <w:rsid w:val="6D1A3AF6"/>
    <w:rsid w:val="6D1F7993"/>
    <w:rsid w:val="6DDF219F"/>
    <w:rsid w:val="6E566302"/>
    <w:rsid w:val="6ECD2B0B"/>
    <w:rsid w:val="6F082747"/>
    <w:rsid w:val="6F196D90"/>
    <w:rsid w:val="6F4A7DF2"/>
    <w:rsid w:val="6F5112A5"/>
    <w:rsid w:val="6F615109"/>
    <w:rsid w:val="6FE62098"/>
    <w:rsid w:val="704B3827"/>
    <w:rsid w:val="708F6BDE"/>
    <w:rsid w:val="70AA7B51"/>
    <w:rsid w:val="70E2675A"/>
    <w:rsid w:val="70F6785F"/>
    <w:rsid w:val="713B7C98"/>
    <w:rsid w:val="71892882"/>
    <w:rsid w:val="71EF3DD8"/>
    <w:rsid w:val="726B5B54"/>
    <w:rsid w:val="7305498B"/>
    <w:rsid w:val="732B0E40"/>
    <w:rsid w:val="73301F45"/>
    <w:rsid w:val="738E0EA2"/>
    <w:rsid w:val="73C8531D"/>
    <w:rsid w:val="73CF14F3"/>
    <w:rsid w:val="73E20328"/>
    <w:rsid w:val="73E355A2"/>
    <w:rsid w:val="73EF2113"/>
    <w:rsid w:val="744E2473"/>
    <w:rsid w:val="745C669A"/>
    <w:rsid w:val="74A25132"/>
    <w:rsid w:val="74B86703"/>
    <w:rsid w:val="752E58F6"/>
    <w:rsid w:val="75362050"/>
    <w:rsid w:val="75CE0FC7"/>
    <w:rsid w:val="75F10EF1"/>
    <w:rsid w:val="76C21ABB"/>
    <w:rsid w:val="76E14D6A"/>
    <w:rsid w:val="77264593"/>
    <w:rsid w:val="772E36E0"/>
    <w:rsid w:val="775E009E"/>
    <w:rsid w:val="776C4A5A"/>
    <w:rsid w:val="7772120B"/>
    <w:rsid w:val="77B37656"/>
    <w:rsid w:val="77E22DBB"/>
    <w:rsid w:val="78054B14"/>
    <w:rsid w:val="781C437F"/>
    <w:rsid w:val="7872306D"/>
    <w:rsid w:val="78C77A2F"/>
    <w:rsid w:val="78D77109"/>
    <w:rsid w:val="78ED6BDA"/>
    <w:rsid w:val="798175E5"/>
    <w:rsid w:val="79C33452"/>
    <w:rsid w:val="79C94AFA"/>
    <w:rsid w:val="7A37509B"/>
    <w:rsid w:val="7A942FB8"/>
    <w:rsid w:val="7AB44F05"/>
    <w:rsid w:val="7AD372AF"/>
    <w:rsid w:val="7AEF4E49"/>
    <w:rsid w:val="7B3E234B"/>
    <w:rsid w:val="7B3F75F9"/>
    <w:rsid w:val="7B6D4610"/>
    <w:rsid w:val="7BFF10BB"/>
    <w:rsid w:val="7C136498"/>
    <w:rsid w:val="7C25052B"/>
    <w:rsid w:val="7C3D3992"/>
    <w:rsid w:val="7C740E42"/>
    <w:rsid w:val="7D6820D3"/>
    <w:rsid w:val="7D7615E3"/>
    <w:rsid w:val="7DBE0502"/>
    <w:rsid w:val="7E38302C"/>
    <w:rsid w:val="7E4B4A8C"/>
    <w:rsid w:val="7F522D6C"/>
    <w:rsid w:val="7F8A4396"/>
    <w:rsid w:val="7FF76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next w:val="9"/>
    <w:qFormat/>
    <w:uiPriority w:val="0"/>
    <w:pPr>
      <w:keepNext w:val="0"/>
      <w:keepLines w:val="0"/>
      <w:widowControl w:val="0"/>
      <w:suppressLineNumbers w:val="0"/>
      <w:spacing w:before="0" w:beforeAutospacing="0" w:after="120" w:afterAutospacing="0"/>
      <w:ind w:left="0" w:right="0"/>
      <w:jc w:val="both"/>
    </w:pPr>
    <w:rPr>
      <w:rFonts w:ascii="Calibri" w:hAnsi="Calibri"/>
      <w:kern w:val="2"/>
      <w:sz w:val="21"/>
      <w:szCs w:val="24"/>
    </w:rPr>
  </w:style>
  <w:style w:type="paragraph" w:styleId="9">
    <w:name w:val="Body Text 2"/>
    <w:basedOn w:val="1"/>
    <w:qFormat/>
    <w:uiPriority w:val="99"/>
    <w:rPr>
      <w:rFonts w:ascii="楷体_GB2312" w:hAnsi="Copperplate Gothic Bold" w:eastAsia="楷体_GB2312"/>
      <w:sz w:val="28"/>
    </w:rPr>
  </w:style>
  <w:style w:type="paragraph" w:styleId="10">
    <w:name w:val="Body Text Indent"/>
    <w:basedOn w:val="1"/>
    <w:qFormat/>
    <w:uiPriority w:val="0"/>
    <w:pPr>
      <w:ind w:firstLine="200" w:firstLineChars="200"/>
    </w:pPr>
    <w:rPr>
      <w:sz w:val="28"/>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0"/>
    <w:pPr>
      <w:ind w:left="420" w:leftChars="200"/>
    </w:pPr>
  </w:style>
  <w:style w:type="paragraph" w:styleId="14">
    <w:name w:val="Normal (Web)"/>
    <w:basedOn w:val="1"/>
    <w:qFormat/>
    <w:uiPriority w:val="0"/>
    <w:pPr>
      <w:widowControl/>
      <w:spacing w:before="100" w:beforeAutospacing="1" w:after="100" w:afterAutospacing="1"/>
      <w:jc w:val="left"/>
    </w:pPr>
    <w:rPr>
      <w:rFonts w:ascii="宋体" w:eastAsia="宋体" w:cs="宋体"/>
      <w:kern w:val="0"/>
      <w:sz w:val="24"/>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character" w:customStyle="1" w:styleId="20">
    <w:name w:val="font51"/>
    <w:basedOn w:val="17"/>
    <w:qFormat/>
    <w:uiPriority w:val="0"/>
    <w:rPr>
      <w:rFonts w:hint="eastAsia" w:ascii="宋体" w:hAnsi="宋体" w:eastAsia="宋体" w:cs="宋体"/>
      <w:color w:val="000000"/>
      <w:sz w:val="18"/>
      <w:szCs w:val="18"/>
      <w:u w:val="none"/>
    </w:rPr>
  </w:style>
  <w:style w:type="character" w:customStyle="1" w:styleId="21">
    <w:name w:val="font81"/>
    <w:basedOn w:val="17"/>
    <w:qFormat/>
    <w:uiPriority w:val="0"/>
    <w:rPr>
      <w:rFonts w:hint="eastAsia" w:ascii="宋体" w:hAnsi="宋体" w:eastAsia="宋体" w:cs="宋体"/>
      <w:color w:val="0000FF"/>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10266</Words>
  <Characters>11028</Characters>
  <Lines>0</Lines>
  <Paragraphs>0</Paragraphs>
  <TotalTime>22</TotalTime>
  <ScaleCrop>false</ScaleCrop>
  <LinksUpToDate>false</LinksUpToDate>
  <CharactersWithSpaces>11358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2025-06-13T08:16:00Z</dcterms:created>
  <dc:creator>海纳百川</dc:creator>
  <cp:lastModifiedBy>＆一笑而过::&gt;_&lt;:</cp:lastModifiedBy>
  <dcterms:modified xsi:type="dcterms:W3CDTF">2025-12-19T06:45:57Z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93435285720B434BB6B0CA20F469C9A8_13</vt:lpwstr>
  </property>
  <property fmtid="{D5CDD505-2E9C-101B-9397-08002B2CF9AE}" pid="4" name="KSOTemplateDocerSaveRecord">
    <vt:lpwstr>eyJoZGlkIjoiNGYyZWE5OWUzMGI3ZWUyNjZhYTk0YzRkZDlmMmJlOGQiLCJ1c2VySWQiOiIxMTY2NzU5ODkyIn0=</vt:lpwstr>
  </property>
</Properties>
</file>