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7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774E9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扶风县财政局</w:t>
      </w:r>
    </w:p>
    <w:p w14:paraId="14094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2025年绩效管理工作总结及2026工作计划</w:t>
      </w:r>
    </w:p>
    <w:p w14:paraId="01D3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今年以来，我们坚持以习近平新时代中国特色社会主义思想为指导，深入学习贯彻党的二十大精神、贯通落实习近平总书记历次来陕考察重要讲话重要指示，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以及中、省、市财会监督和预算绩效管理相关会议精神，积极履职，加强绩效管理，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实现了绩效管理与预算管理一体化，不断提高财政资源配置效率和使用效益，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助推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全县经济社会高质量发展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工作开展情况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1F2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财政绩效管理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工作开展情况</w:t>
      </w:r>
    </w:p>
    <w:p w14:paraId="12D441C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（一）开展整体绩效评价和项目支出绩效评价工作。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2025年5月，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局部署，扶风县财政局以“抓紧、抓实、抓出成效”为目标要求，印发了《扶风县财政局关于开展2024年度事后财政重点项目及部门整体支出绩效评价工作的通知》（扶财办绩〔2025〕5号），对县级所有预算单位进行整体绩效支出评价。在单位自评基础上，选取社会关注度高的18个项目开展财政重点评价，涉及资金1.44亿元，将绩效评价发现的问题向各单位反馈后已全部完成整改。</w:t>
      </w:r>
    </w:p>
    <w:p w14:paraId="1F767121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（二）开展2025年预算新增专项资金事前绩效评审工作。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落实《陕西省财政预算评审管理实施细则》《事前绩效评估与项目预算评审联动机制》要求，把预算评审做为强化预算管理的规定动作，实行“先评审、后审批”“先评审、后招标”，对申请资金在30万元以上的项目全部纳入评估评审范围。2025年共评审了涉及基础设施维修改造、设备购置、规划编制等42个重点项目，送审金额26647.41万元，审定金额23984.92万元，审减金额2662.49万元，审减率10%。</w:t>
      </w:r>
    </w:p>
    <w:p w14:paraId="6D9D0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2025年事中绩监控效评价情况。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根据《扶风县财政局关于开展2025年度事中绩效监控工作的通知》（扶财办绩〔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扶风县财政局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以部门日常监控和财政重点监控相结合的方式，对绩效目标实现程度与预算执行进度进行“双监控”。在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20个部门（单位）进行事中绩效监控自评的基础上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选取扶风县天度镇海大养殖场过沟垫方排水设施项目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、绛法高速下河立交以北养护共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重点监控，涉及资金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及时反馈问题督促整改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，持续加强事中问效，对资金使用偏离绩效目标的项目及时预警纠偏，确保绩效目标按期保质实现。</w:t>
      </w:r>
    </w:p>
    <w:p w14:paraId="0C2BD6ED">
      <w:pPr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（四）开展2024年度重点项目支出事后绩效评价工作。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扶风县财政局关于开展2024年度事后财政重点项目及部门整体支出绩效评价工作的通知》（扶财办绩〔2025〕5号）要求，按照评价工作共同参与，分级负责的原则，对本级所有预算项目全面开展绩效自评，在各单位自评的基础上选取16个项目开展2024年度重点项目事后绩效评价。具体包括扶风县法门镇美阳河片区污水管网、扶风科技工业园区标准化厂房及路网配套、沟老村编织袋包装生产线、法门午井消防站房屋改造等项目，涉及金额13240万元，将绩效评价中所发现的问题反馈给相关部门（单位）后现已全部整改到位。</w:t>
      </w:r>
    </w:p>
    <w:p w14:paraId="3D0F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二、财政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绩效管理工作亮点</w:t>
      </w:r>
    </w:p>
    <w:p w14:paraId="3D91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为了进一步推动我县绩效管理工作，我们深入贯彻中省市预算绩效管理制度及相关会议精神，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查摆问题，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虚心学习各县区经验做法，补短板、强弱项，全面提升预算绩效管理水平。</w:t>
      </w:r>
    </w:p>
    <w:p w14:paraId="20F5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（一）强化“全方位、全过程、全覆盖”绩效管理，构建闭环运行体系。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年以来，扶风县财政局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坚持以预算绩效目标管理为基础，依托预算管理一体化系统，构建项目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立项</w:t>
      </w:r>
      <w:r>
        <w:rPr>
          <w:rFonts w:hint="eastAsia" w:ascii="仿宋_GB2312" w:hAnsi="仿宋_GB2312" w:eastAsia="仿宋_GB2312" w:cs="仿宋_GB2312"/>
          <w:sz w:val="32"/>
          <w:szCs w:val="32"/>
        </w:rPr>
        <w:t>事前有评估、预算编制有目标、预算执行有监控、预算完成有评价、评价结果有反馈、反馈结果有运用的“六有”闭环工作机制，实现对预算资金的“全方位、全过程、全覆盖”管理。</w:t>
      </w:r>
    </w:p>
    <w:p w14:paraId="2A70C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（二）扎实开展绩效目标管理。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绩效先行原则，各预算单位在申请预算资金时，通过“二上二下”程序将部门整体及项目绩效目标随部门预算同步编制、同步审核、同步批复，并建立分行业分领域的个性指标体系，使绩效目标管理基础支撑更加坚实有力；</w:t>
      </w:r>
    </w:p>
    <w:p w14:paraId="3E65F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（三）探索开展成本预算绩效管理。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为有效解决预算管理中存在的“重投入、轻成本”问题，探索开展成本预算绩效管理工作，2025年选取2个重点项目（涉及金额6155万元）开展试点，推动财政资源高效配置和公共服务供给质量提升。</w:t>
      </w:r>
    </w:p>
    <w:p w14:paraId="20112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绩效管理工作面临的主要困难和制约因素</w:t>
      </w:r>
    </w:p>
    <w:p w14:paraId="4F129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（一）绩效理念仍需深化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部分预算单位存在“重分配、轻管理，重支出、轻绩效”的惯性思维，绩效目标编制流于形式，自评工作存在“走过场”现象，对绩效管理的重视程度不足。</w:t>
      </w:r>
    </w:p>
    <w:p w14:paraId="7CCE8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（二）指标体系不够完善。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部分项目绩效指标设置缺乏针对性和可衡量性，尤其是民生、公益类项目，难以量化社会效益和长远效益，导致评价结果无法精准反映资金实际效益。</w:t>
      </w:r>
    </w:p>
    <w:p w14:paraId="00F18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（三）专业人才储备不足。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基层财政部门绩效管理人员多为兼职，缺乏系统的专业培训，对绩效评价方法、指标设计等业务掌握不深，难以满足精细化管理需求。</w:t>
      </w:r>
    </w:p>
    <w:p w14:paraId="03F23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2026年工作计划</w:t>
      </w:r>
    </w:p>
    <w:p w14:paraId="5A9CD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1.聚焦重点领域精准评价。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围绕乡村振兴、民生保障、重大基础设施建设等领域开展专项绩效评价，深入分析资金使用效益和政策实施效果，为决策提供数据支撑。</w:t>
      </w:r>
    </w:p>
    <w:p w14:paraId="43DE28F5"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2.持续推进绩效评价结果应用管理。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细化绩效评价结果反馈整改机制，将《县级预算绩效管理结果应用暂行办法》作为调整支出结构、完善政策和安排预算的重要依据。同时探索绩效信息适度公开机制，主动接受社会监督，倒逼财政资金使用提质增效。</w:t>
      </w:r>
    </w:p>
    <w:p w14:paraId="30C28222"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3.强化跨部门协同监督。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进一步加强与审计、人大、纪检监察等部门的协作，建立绩效问题线索移送机制，形成监管合力，确保财政资金安全、高效使用。</w:t>
      </w:r>
    </w:p>
    <w:p w14:paraId="73C4A14E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BE974A5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BC40BC5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扶风县财政局    </w:t>
      </w:r>
    </w:p>
    <w:p w14:paraId="117055B0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2025年12月31日  </w:t>
      </w:r>
    </w:p>
    <w:p w14:paraId="0E43BA80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E78FA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9478FCA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20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071979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194EC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56A71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1A4C47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329B3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420C0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60AA3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3F75A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7D5BDE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4602CE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5FDB0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30715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3F564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43F82A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rPr>
          <w:color w:val="auto"/>
          <w:sz w:val="6"/>
        </w:rPr>
      </w:pPr>
    </w:p>
    <w:p w14:paraId="0F1A1E2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15pt;height:0pt;width:432pt;z-index:251660288;mso-width-relative:page;mso-height-relative:page;" filled="f" stroked="t" coordsize="21600,21600" o:gfxdata="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ycrldMAAAAGAQAADwAAAAAAAAABACAAAAAiAAAAZHJzL2Rvd25yZXYueG1sUEsB&#10;AhQAFAAAAAgAh07iQOCzwyH6AQAA8wMAAA4AAAAAAAAAAQAgAAAAIg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54864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0.15pt;height:0pt;width:432pt;z-index:251659264;mso-width-relative:page;mso-height-relative:page;" filled="f" stroked="t" coordsize="21600,21600" o:gfxdata="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99OtPRAAAABAEAAA8AAAAAAAAAAQAgAAAAIgAAAGRycy9kb3ducmV2LnhtbFBLAQIU&#10;ABQAAAAIAIdO4kBCd8Mq+gEAAPMDAAAOAAAAAAAAAAEAIAAAACA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扶风县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财政局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EC372-505E-4E78-B3EF-006563E1F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5FF9B8-A2D8-44BF-A2B2-CB889C4938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64C93F-FD42-482D-B093-B9E93153B3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D681D7-2C31-45F1-9CF7-3DE8A6E3F6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9EA3FBC-5B63-4DB4-9AF6-A231C4E8A6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65ED776-519A-4BD2-8744-CF3E88D885E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43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042F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042F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TdkODk5NWQ1NDRjYzNiNDRlNjhlZDNhY2Q4YTkifQ=="/>
  </w:docVars>
  <w:rsids>
    <w:rsidRoot w:val="11D9277F"/>
    <w:rsid w:val="06F772FB"/>
    <w:rsid w:val="0DF56D87"/>
    <w:rsid w:val="10536C40"/>
    <w:rsid w:val="109432F8"/>
    <w:rsid w:val="11D9277F"/>
    <w:rsid w:val="199E1ABC"/>
    <w:rsid w:val="1E4B7157"/>
    <w:rsid w:val="234C3D8B"/>
    <w:rsid w:val="23BD2C64"/>
    <w:rsid w:val="29C36386"/>
    <w:rsid w:val="2A351FC9"/>
    <w:rsid w:val="2B144BF3"/>
    <w:rsid w:val="2B944ACD"/>
    <w:rsid w:val="2DE77219"/>
    <w:rsid w:val="33CC4DFC"/>
    <w:rsid w:val="3AB46F3A"/>
    <w:rsid w:val="41764F49"/>
    <w:rsid w:val="421B33FA"/>
    <w:rsid w:val="4A857FAB"/>
    <w:rsid w:val="4C5145E8"/>
    <w:rsid w:val="54C95F9A"/>
    <w:rsid w:val="58A81A34"/>
    <w:rsid w:val="746870B4"/>
    <w:rsid w:val="7D603DDC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Body Text Indent"/>
    <w:qFormat/>
    <w:uiPriority w:val="0"/>
    <w:pPr>
      <w:widowControl w:val="0"/>
      <w:ind w:firstLine="645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2095</Words>
  <Characters>2201</Characters>
  <Lines>0</Lines>
  <Paragraphs>0</Paragraphs>
  <TotalTime>19</TotalTime>
  <ScaleCrop>false</ScaleCrop>
  <LinksUpToDate>false</LinksUpToDate>
  <CharactersWithSpaces>2265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2024-11-07T08:56:00Z</dcterms:created>
  <dc:creator>WPS_1728984580</dc:creator>
  <cp:lastModifiedBy>在水一方</cp:lastModifiedBy>
  <cp:lastPrinted>2025-12-01T06:42:00Z</cp:lastPrinted>
  <dcterms:modified xsi:type="dcterms:W3CDTF">2026-03-24T00:25:36Z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D73F65743D7B40AD9C2A9B8E9997A11B_13</vt:lpwstr>
  </property>
  <property fmtid="{D5CDD505-2E9C-101B-9397-08002B2CF9AE}" pid="4" name="KSOTemplateDocerSaveRecord">
    <vt:lpwstr>eyJoZGlkIjoiOTBjMzdlZDBkOTg2OWIxMjAwZmZhYTgxYzc4NWM0NzMiLCJ1c2VySWQiOiI0MjczMDM2MjIifQ==</vt:lpwstr>
  </property>
</Properties>
</file>